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376D4" w14:textId="0DE8FEBA" w:rsidR="00AB12CE" w:rsidRDefault="00CC1ED3" w:rsidP="00915C75">
      <w:pPr>
        <w:pStyle w:val="wText"/>
        <w:rPr>
          <w:b/>
          <w:bCs/>
          <w:sz w:val="28"/>
          <w:szCs w:val="28"/>
        </w:rPr>
      </w:pPr>
      <w:r w:rsidRPr="00CC1ED3">
        <w:rPr>
          <w:b/>
          <w:bCs/>
          <w:sz w:val="28"/>
          <w:szCs w:val="28"/>
          <w:lang w:val="sv-SE"/>
        </w:rPr>
        <w:t xml:space="preserve">Uttalande från CoinShares styrelse angående </w:t>
      </w:r>
      <w:r>
        <w:rPr>
          <w:b/>
          <w:bCs/>
          <w:sz w:val="28"/>
          <w:szCs w:val="28"/>
          <w:lang w:val="sv-SE"/>
        </w:rPr>
        <w:t xml:space="preserve">ett </w:t>
      </w:r>
      <w:r w:rsidRPr="00CC1ED3">
        <w:rPr>
          <w:b/>
          <w:bCs/>
          <w:sz w:val="28"/>
          <w:szCs w:val="28"/>
          <w:lang w:val="sv-SE"/>
        </w:rPr>
        <w:t>avtal</w:t>
      </w:r>
      <w:r>
        <w:rPr>
          <w:b/>
          <w:bCs/>
          <w:sz w:val="28"/>
          <w:szCs w:val="28"/>
          <w:lang w:val="sv-SE"/>
        </w:rPr>
        <w:t>a</w:t>
      </w:r>
      <w:r w:rsidRPr="00CC1ED3">
        <w:rPr>
          <w:b/>
          <w:bCs/>
          <w:sz w:val="28"/>
          <w:szCs w:val="28"/>
          <w:lang w:val="sv-SE"/>
        </w:rPr>
        <w:t xml:space="preserve">t samgående med </w:t>
      </w:r>
      <w:r w:rsidRPr="00CC1ED3">
        <w:rPr>
          <w:b/>
          <w:bCs/>
          <w:sz w:val="28"/>
          <w:szCs w:val="28"/>
        </w:rPr>
        <w:t>with Odysseus Holdings, Vine Hill Capital Investment Corp., Odysseus Holdings Limited och flera</w:t>
      </w:r>
    </w:p>
    <w:p w14:paraId="0B800881" w14:textId="27D2AA4B" w:rsidR="005F0069" w:rsidRPr="005F0069" w:rsidRDefault="00CC1ED3" w:rsidP="005F0069">
      <w:pPr>
        <w:pStyle w:val="wText"/>
        <w:rPr>
          <w:b/>
          <w:bCs/>
          <w:lang w:val="sv-SE"/>
        </w:rPr>
      </w:pPr>
      <w:r w:rsidRPr="00A25DD0">
        <w:rPr>
          <w:b/>
          <w:bCs/>
          <w:lang w:val="sv-SE"/>
        </w:rPr>
        <w:t xml:space="preserve">CoinShares International Limited (”CoinShares”), Vine Hill Capital Investment Corp., </w:t>
      </w:r>
      <w:r w:rsidR="00330EB7">
        <w:rPr>
          <w:b/>
          <w:bCs/>
          <w:lang w:val="sv-SE"/>
        </w:rPr>
        <w:t xml:space="preserve">ett </w:t>
      </w:r>
      <w:r w:rsidR="006523D4">
        <w:rPr>
          <w:b/>
          <w:bCs/>
          <w:lang w:val="sv-SE"/>
        </w:rPr>
        <w:t>s.k.</w:t>
      </w:r>
      <w:r w:rsidRPr="00A25DD0">
        <w:rPr>
          <w:b/>
          <w:bCs/>
          <w:lang w:val="sv-SE"/>
        </w:rPr>
        <w:t xml:space="preserve"> </w:t>
      </w:r>
      <w:r w:rsidRPr="007924E3">
        <w:rPr>
          <w:b/>
          <w:bCs/>
          <w:i/>
          <w:iCs/>
          <w:lang w:val="sv-SE"/>
        </w:rPr>
        <w:t>special-purpose acquisition company</w:t>
      </w:r>
      <w:r w:rsidRPr="007924E3">
        <w:rPr>
          <w:b/>
          <w:bCs/>
          <w:lang w:val="sv-SE"/>
        </w:rPr>
        <w:t xml:space="preserve"> noterat på Nasdaq Stock Market (”Vine Hill”) och Odysseus Holdings Limited, ett nybildat bolag på Jersey, (”Odysseus Holdings”)</w:t>
      </w:r>
      <w:r w:rsidRPr="007924E3">
        <w:rPr>
          <w:rStyle w:val="FootnoteReference"/>
          <w:b/>
          <w:bCs/>
          <w:lang w:val="sv-SE"/>
        </w:rPr>
        <w:footnoteReference w:id="1"/>
      </w:r>
      <w:r w:rsidRPr="007924E3">
        <w:rPr>
          <w:b/>
          <w:bCs/>
          <w:lang w:val="sv-SE"/>
        </w:rPr>
        <w:t xml:space="preserve"> offentliggör idag gemensamt att CoinShares, Vine Hill och Odysseus Holdings har </w:t>
      </w:r>
      <w:r>
        <w:rPr>
          <w:b/>
          <w:bCs/>
          <w:lang w:val="sv-SE"/>
        </w:rPr>
        <w:t xml:space="preserve">ingått </w:t>
      </w:r>
      <w:r w:rsidR="00382118">
        <w:rPr>
          <w:b/>
          <w:bCs/>
          <w:lang w:val="sv-SE"/>
        </w:rPr>
        <w:t xml:space="preserve">ett </w:t>
      </w:r>
      <w:r>
        <w:rPr>
          <w:b/>
          <w:bCs/>
          <w:lang w:val="sv-SE"/>
        </w:rPr>
        <w:t>avtal</w:t>
      </w:r>
      <w:r w:rsidRPr="007924E3">
        <w:rPr>
          <w:b/>
          <w:bCs/>
          <w:lang w:val="sv-SE"/>
        </w:rPr>
        <w:t xml:space="preserve"> om samgående innefattande ett domstolsgodkänt Scheme of Arrangement (</w:t>
      </w:r>
      <w:r w:rsidRPr="004E5C56">
        <w:rPr>
          <w:b/>
          <w:bCs/>
          <w:lang w:val="sv-SE"/>
        </w:rPr>
        <w:t>såsom definierat nedan</w:t>
      </w:r>
      <w:r w:rsidRPr="007924E3">
        <w:rPr>
          <w:b/>
          <w:bCs/>
          <w:lang w:val="sv-SE"/>
        </w:rPr>
        <w:t xml:space="preserve">) enligt lagstiftningen på Jersey mellan CoinShares och dess aktieägare (det </w:t>
      </w:r>
      <w:r>
        <w:rPr>
          <w:b/>
          <w:bCs/>
          <w:lang w:val="sv-SE"/>
        </w:rPr>
        <w:t>avtalade</w:t>
      </w:r>
      <w:r w:rsidRPr="007924E3">
        <w:rPr>
          <w:b/>
          <w:bCs/>
          <w:lang w:val="sv-SE"/>
        </w:rPr>
        <w:t xml:space="preserve"> samgåendet och Scheme of Arrangement </w:t>
      </w:r>
      <w:r w:rsidR="005F0F58">
        <w:rPr>
          <w:b/>
          <w:bCs/>
          <w:lang w:val="sv-SE"/>
        </w:rPr>
        <w:t>benämnt gemensamt som</w:t>
      </w:r>
      <w:r>
        <w:rPr>
          <w:b/>
          <w:bCs/>
          <w:lang w:val="sv-SE"/>
        </w:rPr>
        <w:t xml:space="preserve"> </w:t>
      </w:r>
      <w:r w:rsidRPr="007924E3">
        <w:rPr>
          <w:b/>
          <w:bCs/>
          <w:lang w:val="sv-SE"/>
        </w:rPr>
        <w:t xml:space="preserve">”Transaktionen”), i syfte att </w:t>
      </w:r>
      <w:r w:rsidR="005F0F58">
        <w:rPr>
          <w:b/>
          <w:bCs/>
          <w:lang w:val="sv-SE"/>
        </w:rPr>
        <w:t>genomföra</w:t>
      </w:r>
      <w:r w:rsidRPr="007924E3">
        <w:rPr>
          <w:b/>
          <w:bCs/>
          <w:lang w:val="sv-SE"/>
        </w:rPr>
        <w:t xml:space="preserve"> ett byte av handelsplats för CoinShares </w:t>
      </w:r>
      <w:r w:rsidR="005F0F58">
        <w:rPr>
          <w:b/>
          <w:bCs/>
          <w:lang w:val="sv-SE"/>
        </w:rPr>
        <w:t>stam</w:t>
      </w:r>
      <w:r w:rsidRPr="007924E3">
        <w:rPr>
          <w:b/>
          <w:bCs/>
          <w:lang w:val="sv-SE"/>
        </w:rPr>
        <w:t xml:space="preserve">aktier från Nasdaq Stockholm till Nasdaq Stock Market i USA, eller någon annan publik aktiemarknad eller handelsplats i USA som CoinShares och Vine Hill </w:t>
      </w:r>
      <w:r>
        <w:rPr>
          <w:b/>
          <w:bCs/>
          <w:lang w:val="sv-SE"/>
        </w:rPr>
        <w:t>gemensamt beslutar</w:t>
      </w:r>
      <w:r w:rsidRPr="007924E3">
        <w:rPr>
          <w:b/>
          <w:bCs/>
          <w:lang w:val="sv-SE"/>
        </w:rPr>
        <w:t xml:space="preserve"> om</w:t>
      </w:r>
      <w:r>
        <w:rPr>
          <w:b/>
          <w:bCs/>
          <w:lang w:val="sv-SE"/>
        </w:rPr>
        <w:t xml:space="preserve">. </w:t>
      </w:r>
      <w:r w:rsidRPr="007924E3">
        <w:rPr>
          <w:b/>
          <w:bCs/>
          <w:lang w:val="sv-SE"/>
        </w:rPr>
        <w:t xml:space="preserve">Det totala vederlaget </w:t>
      </w:r>
      <w:r>
        <w:rPr>
          <w:b/>
          <w:bCs/>
          <w:lang w:val="sv-SE"/>
        </w:rPr>
        <w:t>till</w:t>
      </w:r>
      <w:r w:rsidRPr="007924E3">
        <w:rPr>
          <w:b/>
          <w:bCs/>
          <w:lang w:val="sv-SE"/>
        </w:rPr>
        <w:t xml:space="preserve"> CoinShares aktieägare </w:t>
      </w:r>
      <w:r>
        <w:rPr>
          <w:b/>
          <w:bCs/>
          <w:lang w:val="sv-SE"/>
        </w:rPr>
        <w:t>motsvarar en värdering av</w:t>
      </w:r>
      <w:r w:rsidRPr="007924E3">
        <w:rPr>
          <w:b/>
          <w:bCs/>
          <w:lang w:val="sv-SE"/>
        </w:rPr>
        <w:t xml:space="preserve"> CoinShares </w:t>
      </w:r>
      <w:r>
        <w:rPr>
          <w:b/>
          <w:bCs/>
          <w:lang w:val="sv-SE"/>
        </w:rPr>
        <w:t>om</w:t>
      </w:r>
      <w:r w:rsidRPr="007924E3">
        <w:rPr>
          <w:b/>
          <w:bCs/>
          <w:lang w:val="sv-SE"/>
        </w:rPr>
        <w:t xml:space="preserve"> cirka 11,3 miljarder </w:t>
      </w:r>
      <w:r>
        <w:rPr>
          <w:b/>
          <w:bCs/>
          <w:lang w:val="sv-SE"/>
        </w:rPr>
        <w:t>SEK</w:t>
      </w:r>
      <w:r w:rsidRPr="007924E3">
        <w:rPr>
          <w:b/>
          <w:bCs/>
          <w:lang w:val="sv-SE"/>
        </w:rPr>
        <w:t xml:space="preserve"> eller 1,2 miljarder</w:t>
      </w:r>
      <w:r w:rsidRPr="002B2E05">
        <w:rPr>
          <w:lang w:val="sv-SE"/>
        </w:rPr>
        <w:t xml:space="preserve"> </w:t>
      </w:r>
      <w:r w:rsidRPr="007924E3">
        <w:rPr>
          <w:b/>
          <w:bCs/>
          <w:lang w:val="sv-SE"/>
        </w:rPr>
        <w:t>US</w:t>
      </w:r>
      <w:r>
        <w:rPr>
          <w:b/>
          <w:bCs/>
          <w:lang w:val="sv-SE"/>
        </w:rPr>
        <w:t>D</w:t>
      </w:r>
      <w:r w:rsidRPr="002B2E05">
        <w:rPr>
          <w:b/>
          <w:bCs/>
          <w:lang w:val="sv-SE"/>
        </w:rPr>
        <w:t xml:space="preserve"> på fullt utspädd basis</w:t>
      </w:r>
      <w:r w:rsidRPr="007924E3">
        <w:rPr>
          <w:rStyle w:val="FootnoteReference"/>
          <w:b/>
          <w:bCs/>
          <w:lang w:val="sv-SE"/>
        </w:rPr>
        <w:footnoteReference w:id="2"/>
      </w:r>
      <w:r w:rsidRPr="007924E3">
        <w:rPr>
          <w:b/>
          <w:bCs/>
          <w:lang w:val="sv-SE"/>
        </w:rPr>
        <w:t xml:space="preserve">, vilket motsvarar </w:t>
      </w:r>
      <w:r w:rsidR="005F0F58">
        <w:rPr>
          <w:b/>
          <w:bCs/>
          <w:lang w:val="sv-SE"/>
        </w:rPr>
        <w:t xml:space="preserve">cirka </w:t>
      </w:r>
      <w:r w:rsidRPr="007924E3">
        <w:rPr>
          <w:b/>
          <w:bCs/>
          <w:lang w:val="sv-SE"/>
        </w:rPr>
        <w:t>17</w:t>
      </w:r>
      <w:r w:rsidR="008F46B9">
        <w:rPr>
          <w:b/>
          <w:bCs/>
          <w:lang w:val="sv-SE"/>
        </w:rPr>
        <w:t>3</w:t>
      </w:r>
      <w:r>
        <w:rPr>
          <w:b/>
          <w:bCs/>
          <w:lang w:val="sv-SE"/>
        </w:rPr>
        <w:t>,</w:t>
      </w:r>
      <w:r w:rsidR="008F46B9">
        <w:rPr>
          <w:b/>
          <w:bCs/>
          <w:lang w:val="sv-SE"/>
        </w:rPr>
        <w:t>2</w:t>
      </w:r>
      <w:r w:rsidRPr="007924E3">
        <w:rPr>
          <w:b/>
          <w:bCs/>
          <w:lang w:val="sv-SE"/>
        </w:rPr>
        <w:t xml:space="preserve"> </w:t>
      </w:r>
      <w:r>
        <w:rPr>
          <w:b/>
          <w:bCs/>
          <w:lang w:val="sv-SE"/>
        </w:rPr>
        <w:t>SEK</w:t>
      </w:r>
      <w:r w:rsidRPr="007924E3">
        <w:rPr>
          <w:b/>
          <w:bCs/>
          <w:lang w:val="sv-SE"/>
        </w:rPr>
        <w:t xml:space="preserve"> per aktie</w:t>
      </w:r>
      <w:r w:rsidRPr="002B2E05">
        <w:rPr>
          <w:lang w:val="sv-SE"/>
        </w:rPr>
        <w:t xml:space="preserve"> </w:t>
      </w:r>
      <w:r w:rsidRPr="002B2E05">
        <w:rPr>
          <w:b/>
          <w:bCs/>
          <w:lang w:val="sv-SE"/>
        </w:rPr>
        <w:t>på fullt utspädd basis</w:t>
      </w:r>
      <w:r w:rsidRPr="007924E3">
        <w:rPr>
          <w:rStyle w:val="FootnoteReference"/>
          <w:b/>
          <w:bCs/>
          <w:lang w:val="sv-SE"/>
        </w:rPr>
        <w:footnoteReference w:id="3"/>
      </w:r>
      <w:r w:rsidRPr="007924E3">
        <w:rPr>
          <w:b/>
          <w:bCs/>
          <w:lang w:val="sv-SE"/>
        </w:rPr>
        <w:t xml:space="preserve">, och motsvarar en premie om cirka </w:t>
      </w:r>
      <w:r w:rsidR="008F46B9">
        <w:rPr>
          <w:b/>
          <w:bCs/>
          <w:lang w:val="sv-SE"/>
        </w:rPr>
        <w:t>30</w:t>
      </w:r>
      <w:r w:rsidRPr="007924E3">
        <w:rPr>
          <w:b/>
          <w:bCs/>
          <w:lang w:val="sv-SE"/>
        </w:rPr>
        <w:t>,</w:t>
      </w:r>
      <w:r w:rsidR="008F46B9">
        <w:rPr>
          <w:b/>
          <w:bCs/>
          <w:lang w:val="sv-SE"/>
        </w:rPr>
        <w:t>6</w:t>
      </w:r>
      <w:r w:rsidRPr="007924E3">
        <w:rPr>
          <w:b/>
          <w:bCs/>
          <w:lang w:val="sv-SE"/>
        </w:rPr>
        <w:t xml:space="preserve"> procent jämfört med stängningskursen om 132,6 </w:t>
      </w:r>
      <w:r>
        <w:rPr>
          <w:b/>
          <w:bCs/>
          <w:lang w:val="sv-SE"/>
        </w:rPr>
        <w:t>SEK</w:t>
      </w:r>
      <w:r w:rsidR="000F1DFA">
        <w:rPr>
          <w:b/>
          <w:bCs/>
          <w:lang w:val="sv-SE"/>
        </w:rPr>
        <w:t xml:space="preserve"> för CoinShares aktie</w:t>
      </w:r>
      <w:r w:rsidRPr="007924E3">
        <w:rPr>
          <w:b/>
          <w:bCs/>
          <w:lang w:val="sv-SE"/>
        </w:rPr>
        <w:t xml:space="preserve"> på Nasdaq Stockholm den 5 september 2025, som var den </w:t>
      </w:r>
      <w:r w:rsidR="00404D6E">
        <w:rPr>
          <w:b/>
          <w:bCs/>
          <w:lang w:val="sv-SE"/>
        </w:rPr>
        <w:t>senaste</w:t>
      </w:r>
      <w:r w:rsidRPr="007924E3">
        <w:rPr>
          <w:b/>
          <w:bCs/>
          <w:lang w:val="sv-SE"/>
        </w:rPr>
        <w:t xml:space="preserve"> </w:t>
      </w:r>
      <w:r w:rsidR="00404D6E">
        <w:rPr>
          <w:b/>
          <w:bCs/>
          <w:lang w:val="sv-SE"/>
        </w:rPr>
        <w:t xml:space="preserve">avslutade </w:t>
      </w:r>
      <w:r w:rsidRPr="007924E3">
        <w:rPr>
          <w:b/>
          <w:bCs/>
          <w:lang w:val="sv-SE"/>
        </w:rPr>
        <w:t xml:space="preserve">handelsdagen </w:t>
      </w:r>
      <w:r w:rsidR="000F1DFA">
        <w:rPr>
          <w:b/>
          <w:bCs/>
          <w:lang w:val="sv-SE"/>
        </w:rPr>
        <w:t>innan</w:t>
      </w:r>
      <w:r w:rsidRPr="007924E3">
        <w:rPr>
          <w:b/>
          <w:bCs/>
          <w:lang w:val="sv-SE"/>
        </w:rPr>
        <w:t xml:space="preserve"> offentliggörandet av Transaktionen.</w:t>
      </w:r>
      <w:r w:rsidR="005F0069" w:rsidRPr="005F0069">
        <w:rPr>
          <w:b/>
          <w:bCs/>
          <w:lang w:val="sv-SE"/>
        </w:rPr>
        <w:t xml:space="preserve"> </w:t>
      </w:r>
      <w:r w:rsidR="005F0069" w:rsidRPr="007924E3">
        <w:rPr>
          <w:b/>
          <w:bCs/>
          <w:lang w:val="sv-SE"/>
        </w:rPr>
        <w:t xml:space="preserve">Vederlaget </w:t>
      </w:r>
      <w:r w:rsidR="005F0069">
        <w:rPr>
          <w:b/>
          <w:bCs/>
          <w:lang w:val="sv-SE"/>
        </w:rPr>
        <w:t>i</w:t>
      </w:r>
      <w:r w:rsidR="005F0069" w:rsidRPr="007924E3">
        <w:rPr>
          <w:b/>
          <w:bCs/>
          <w:lang w:val="sv-SE"/>
        </w:rPr>
        <w:t xml:space="preserve"> Transaktionen består av stamaktier i Odysseus Holdings, som slutligen efter </w:t>
      </w:r>
      <w:r w:rsidR="00382118">
        <w:rPr>
          <w:b/>
          <w:bCs/>
          <w:lang w:val="sv-SE"/>
        </w:rPr>
        <w:t>fullgörandet</w:t>
      </w:r>
      <w:r w:rsidR="005F0069" w:rsidRPr="007924E3">
        <w:rPr>
          <w:b/>
          <w:bCs/>
          <w:lang w:val="sv-SE"/>
        </w:rPr>
        <w:t xml:space="preserve"> av Transaktionen</w:t>
      </w:r>
      <w:r w:rsidR="005F0069" w:rsidRPr="007924E3" w:rsidDel="00387D7E">
        <w:rPr>
          <w:b/>
          <w:bCs/>
          <w:lang w:val="sv-SE"/>
        </w:rPr>
        <w:t xml:space="preserve"> </w:t>
      </w:r>
      <w:r w:rsidR="00382118">
        <w:rPr>
          <w:b/>
          <w:bCs/>
          <w:lang w:val="sv-SE"/>
        </w:rPr>
        <w:t>kommer</w:t>
      </w:r>
      <w:r w:rsidR="005F0069" w:rsidRPr="007924E3">
        <w:rPr>
          <w:b/>
          <w:bCs/>
          <w:lang w:val="sv-SE"/>
        </w:rPr>
        <w:t xml:space="preserve"> ersätta Vine Hill som noterat bolag på Nasdaq Stock Market i USA och äga alla utestående aktier i CoinShares</w:t>
      </w:r>
      <w:r w:rsidR="005F0069" w:rsidRPr="005F0069">
        <w:rPr>
          <w:b/>
          <w:bCs/>
          <w:sz w:val="24"/>
          <w:szCs w:val="24"/>
          <w:lang w:val="sv-SE" w:eastAsia="sv-SE"/>
        </w:rPr>
        <w:t xml:space="preserve"> </w:t>
      </w:r>
      <w:r w:rsidR="005F0069" w:rsidRPr="005F0069">
        <w:rPr>
          <w:b/>
          <w:bCs/>
          <w:lang w:val="sv-SE"/>
        </w:rPr>
        <w:t>efter slutförandet av Transaktionen, som är planerad att inledas den 17 december 2025.</w:t>
      </w:r>
    </w:p>
    <w:p w14:paraId="74C49054" w14:textId="26DBD014" w:rsidR="00CC1ED3" w:rsidRDefault="00844042" w:rsidP="00915C75">
      <w:pPr>
        <w:pStyle w:val="wText"/>
        <w:rPr>
          <w:lang w:val="sv-SE"/>
        </w:rPr>
      </w:pPr>
      <w:r w:rsidRPr="007924E3">
        <w:rPr>
          <w:lang w:val="sv-SE"/>
        </w:rPr>
        <w:t xml:space="preserve">Idag, den 8 september 2025, har CoinShares, Vine Hill, Odysseus Holdings Limited och Odysseus (Cayman) Limited, </w:t>
      </w:r>
      <w:r w:rsidR="00330EB7" w:rsidRPr="00330EB7">
        <w:rPr>
          <w:lang w:val="sv-SE"/>
        </w:rPr>
        <w:t xml:space="preserve">ett nybildat undantaget bolag inkorporerat på Caymanöarna (eng. </w:t>
      </w:r>
      <w:r w:rsidR="00330EB7" w:rsidRPr="00330EB7">
        <w:rPr>
          <w:i/>
          <w:iCs/>
          <w:lang w:val="sv-SE"/>
        </w:rPr>
        <w:t>Cayman Islands exempted company</w:t>
      </w:r>
      <w:r w:rsidR="00330EB7" w:rsidRPr="00330EB7">
        <w:rPr>
          <w:lang w:val="sv-SE"/>
        </w:rPr>
        <w:t>), som till fullo ägs av Odysseus Holdings (”</w:t>
      </w:r>
      <w:r w:rsidR="00330EB7" w:rsidRPr="00330EB7">
        <w:rPr>
          <w:b/>
          <w:bCs/>
          <w:lang w:val="sv-SE"/>
        </w:rPr>
        <w:t>Odysseus Cayman</w:t>
      </w:r>
      <w:r w:rsidR="00330EB7" w:rsidRPr="00330EB7">
        <w:rPr>
          <w:lang w:val="sv-SE"/>
        </w:rPr>
        <w:t xml:space="preserve">”), </w:t>
      </w:r>
      <w:bookmarkStart w:id="0" w:name="_Hlk207739968"/>
      <w:r w:rsidR="00330EB7" w:rsidRPr="00330EB7">
        <w:rPr>
          <w:lang w:val="sv-SE"/>
        </w:rPr>
        <w:t xml:space="preserve">ingått ett avtal om samgående av deras respektive verksamheter (eng. </w:t>
      </w:r>
      <w:r w:rsidR="00330EB7" w:rsidRPr="00330EB7">
        <w:rPr>
          <w:i/>
          <w:iCs/>
          <w:lang w:val="sv-SE"/>
        </w:rPr>
        <w:t>Business Combination Agreement</w:t>
      </w:r>
      <w:r w:rsidR="00330EB7" w:rsidRPr="00330EB7">
        <w:rPr>
          <w:lang w:val="sv-SE"/>
        </w:rPr>
        <w:t xml:space="preserve">) </w:t>
      </w:r>
      <w:bookmarkEnd w:id="0"/>
      <w:r w:rsidR="00330EB7" w:rsidRPr="00330EB7">
        <w:rPr>
          <w:lang w:val="sv-SE"/>
        </w:rPr>
        <w:t>(”</w:t>
      </w:r>
      <w:r w:rsidR="00330EB7" w:rsidRPr="00330EB7">
        <w:rPr>
          <w:b/>
          <w:bCs/>
          <w:lang w:val="sv-SE"/>
        </w:rPr>
        <w:t>BCA</w:t>
      </w:r>
      <w:r w:rsidR="00330EB7" w:rsidRPr="00330EB7">
        <w:rPr>
          <w:lang w:val="sv-SE"/>
        </w:rPr>
        <w:t>”) som reglerar Transaktionens struktur och hur samgåendet ska gå till, vilket inkluderar ett scheme of arrangement enligt artikel 125 i Jersey Companies Law (”</w:t>
      </w:r>
      <w:r w:rsidR="00330EB7" w:rsidRPr="00330EB7">
        <w:rPr>
          <w:b/>
          <w:bCs/>
          <w:lang w:val="sv-SE"/>
        </w:rPr>
        <w:t>Scheme of Arrangement</w:t>
      </w:r>
      <w:r w:rsidR="00330EB7" w:rsidRPr="00330EB7">
        <w:rPr>
          <w:lang w:val="sv-SE"/>
        </w:rPr>
        <w:t>”)</w:t>
      </w:r>
      <w:r w:rsidRPr="007924E3">
        <w:rPr>
          <w:lang w:val="sv-SE"/>
        </w:rPr>
        <w:t>.</w:t>
      </w:r>
    </w:p>
    <w:p w14:paraId="5F01E86F" w14:textId="4935B0D4" w:rsidR="002231DC" w:rsidRDefault="002231DC" w:rsidP="002231DC">
      <w:pPr>
        <w:spacing w:after="180"/>
        <w:jc w:val="both"/>
        <w:rPr>
          <w:lang w:val="sv-SE"/>
        </w:rPr>
      </w:pPr>
      <w:bookmarkStart w:id="1" w:name="_Hlk207740170"/>
      <w:r w:rsidRPr="00F439FC">
        <w:rPr>
          <w:lang w:val="sv-SE"/>
        </w:rPr>
        <w:t xml:space="preserve">Varje </w:t>
      </w:r>
      <w:r>
        <w:rPr>
          <w:lang w:val="sv-SE"/>
        </w:rPr>
        <w:t>emitterad</w:t>
      </w:r>
      <w:r w:rsidRPr="00F439FC">
        <w:rPr>
          <w:lang w:val="sv-SE"/>
        </w:rPr>
        <w:t xml:space="preserve"> och utestående stamaktie i CoinShares kommer att </w:t>
      </w:r>
      <w:r>
        <w:rPr>
          <w:lang w:val="sv-SE"/>
        </w:rPr>
        <w:t>växlas in mot</w:t>
      </w:r>
      <w:r w:rsidRPr="00F439FC">
        <w:rPr>
          <w:lang w:val="sv-SE"/>
        </w:rPr>
        <w:t xml:space="preserve"> ett antal stamaktier i Odysseus Holdings (</w:t>
      </w:r>
      <w:r>
        <w:rPr>
          <w:lang w:val="sv-SE"/>
        </w:rPr>
        <w:t>envar</w:t>
      </w:r>
      <w:r w:rsidRPr="00F439FC">
        <w:rPr>
          <w:lang w:val="sv-SE"/>
        </w:rPr>
        <w:t xml:space="preserve"> en</w:t>
      </w:r>
      <w:r w:rsidRPr="007924E3">
        <w:rPr>
          <w:lang w:val="sv-SE"/>
        </w:rPr>
        <w:t xml:space="preserve"> </w:t>
      </w:r>
      <w:r w:rsidRPr="00F439FC">
        <w:rPr>
          <w:lang w:val="sv-SE"/>
        </w:rPr>
        <w:t>”</w:t>
      </w:r>
      <w:r w:rsidRPr="00F439FC">
        <w:rPr>
          <w:b/>
          <w:bCs/>
          <w:lang w:val="sv-SE"/>
        </w:rPr>
        <w:t>Odysseus Holdings-stamaktie</w:t>
      </w:r>
      <w:r w:rsidRPr="00F439FC">
        <w:rPr>
          <w:lang w:val="sv-SE"/>
        </w:rPr>
        <w:t xml:space="preserve">”) </w:t>
      </w:r>
      <w:r>
        <w:rPr>
          <w:lang w:val="sv-SE"/>
        </w:rPr>
        <w:t>motsvarande</w:t>
      </w:r>
      <w:r w:rsidRPr="00F439FC">
        <w:rPr>
          <w:lang w:val="sv-SE"/>
        </w:rPr>
        <w:t xml:space="preserve"> kvoten som erhålls genom att dividera (i) </w:t>
      </w:r>
      <w:r>
        <w:rPr>
          <w:lang w:val="sv-SE"/>
        </w:rPr>
        <w:t>A</w:t>
      </w:r>
      <w:r w:rsidRPr="007222BC">
        <w:rPr>
          <w:lang w:val="sv-SE"/>
        </w:rPr>
        <w:t xml:space="preserve">ktievärdet per </w:t>
      </w:r>
      <w:r>
        <w:rPr>
          <w:lang w:val="sv-SE"/>
        </w:rPr>
        <w:t>A</w:t>
      </w:r>
      <w:r w:rsidRPr="007222BC">
        <w:rPr>
          <w:lang w:val="sv-SE"/>
        </w:rPr>
        <w:t>ktie (</w:t>
      </w:r>
      <w:r>
        <w:rPr>
          <w:lang w:val="sv-SE"/>
        </w:rPr>
        <w:t>såsom definierat nedan</w:t>
      </w:r>
      <w:r w:rsidRPr="007222BC">
        <w:rPr>
          <w:lang w:val="sv-SE"/>
        </w:rPr>
        <w:t>) med (ii) 10,0</w:t>
      </w:r>
      <w:r w:rsidRPr="007222BC">
        <w:rPr>
          <w:rStyle w:val="FootnoteReference"/>
          <w:lang w:val="sv-SE"/>
        </w:rPr>
        <w:footnoteReference w:id="4"/>
      </w:r>
      <w:r w:rsidRPr="007222BC">
        <w:rPr>
          <w:lang w:val="sv-SE"/>
        </w:rPr>
        <w:t xml:space="preserve"> US</w:t>
      </w:r>
      <w:r>
        <w:rPr>
          <w:lang w:val="sv-SE"/>
        </w:rPr>
        <w:t>D</w:t>
      </w:r>
      <w:r w:rsidRPr="007222BC">
        <w:rPr>
          <w:lang w:val="sv-SE"/>
        </w:rPr>
        <w:t xml:space="preserve"> (en sådan kvot benämns ”</w:t>
      </w:r>
      <w:r w:rsidRPr="00DE7B22">
        <w:rPr>
          <w:b/>
          <w:bCs/>
          <w:lang w:val="sv-SE"/>
        </w:rPr>
        <w:t>Utbytesförhållande</w:t>
      </w:r>
      <w:r w:rsidRPr="007222BC">
        <w:rPr>
          <w:lang w:val="sv-SE"/>
        </w:rPr>
        <w:t>”). ”</w:t>
      </w:r>
      <w:r>
        <w:rPr>
          <w:b/>
          <w:bCs/>
          <w:lang w:val="sv-SE"/>
        </w:rPr>
        <w:t>A</w:t>
      </w:r>
      <w:r w:rsidRPr="007222BC">
        <w:rPr>
          <w:b/>
          <w:bCs/>
          <w:lang w:val="sv-SE"/>
        </w:rPr>
        <w:t xml:space="preserve">ktievärdet per </w:t>
      </w:r>
      <w:r>
        <w:rPr>
          <w:b/>
          <w:bCs/>
          <w:lang w:val="sv-SE"/>
        </w:rPr>
        <w:t>A</w:t>
      </w:r>
      <w:r w:rsidRPr="007222BC">
        <w:rPr>
          <w:b/>
          <w:bCs/>
          <w:lang w:val="sv-SE"/>
        </w:rPr>
        <w:t>ktie</w:t>
      </w:r>
      <w:r w:rsidRPr="007222BC">
        <w:rPr>
          <w:lang w:val="sv-SE"/>
        </w:rPr>
        <w:t>” beräknas som 1,2 miljarder</w:t>
      </w:r>
      <w:r w:rsidRPr="007222BC">
        <w:rPr>
          <w:rStyle w:val="FootnoteReference"/>
          <w:lang w:val="sv-SE"/>
        </w:rPr>
        <w:footnoteReference w:id="5"/>
      </w:r>
      <w:r w:rsidRPr="007222BC">
        <w:rPr>
          <w:lang w:val="sv-SE"/>
        </w:rPr>
        <w:t xml:space="preserve"> US</w:t>
      </w:r>
      <w:r>
        <w:rPr>
          <w:lang w:val="sv-SE"/>
        </w:rPr>
        <w:t>D</w:t>
      </w:r>
      <w:r w:rsidRPr="007222BC">
        <w:rPr>
          <w:lang w:val="sv-SE"/>
        </w:rPr>
        <w:t xml:space="preserve"> dividerat med det fullt utspädda antalet emitterade </w:t>
      </w:r>
      <w:r>
        <w:rPr>
          <w:lang w:val="sv-SE"/>
        </w:rPr>
        <w:t>och utestående stam</w:t>
      </w:r>
      <w:r w:rsidRPr="007222BC">
        <w:rPr>
          <w:lang w:val="sv-SE"/>
        </w:rPr>
        <w:t>aktier i CoinShares</w:t>
      </w:r>
      <w:r>
        <w:rPr>
          <w:lang w:val="sv-SE"/>
        </w:rPr>
        <w:t xml:space="preserve"> </w:t>
      </w:r>
      <w:r w:rsidRPr="0082420A">
        <w:rPr>
          <w:lang w:val="sv-SE"/>
        </w:rPr>
        <w:t xml:space="preserve">omedelbart före Transaktionens </w:t>
      </w:r>
      <w:r>
        <w:rPr>
          <w:lang w:val="sv-SE"/>
        </w:rPr>
        <w:t>fullgörande</w:t>
      </w:r>
      <w:r w:rsidRPr="0082420A">
        <w:rPr>
          <w:lang w:val="sv-SE"/>
        </w:rPr>
        <w:t xml:space="preserve">, exklusive de </w:t>
      </w:r>
      <w:r>
        <w:rPr>
          <w:lang w:val="sv-SE"/>
        </w:rPr>
        <w:t>stam</w:t>
      </w:r>
      <w:r w:rsidRPr="0082420A">
        <w:rPr>
          <w:lang w:val="sv-SE"/>
        </w:rPr>
        <w:t>aktier som ska emitteras i den Riktade Nyemissionen</w:t>
      </w:r>
      <w:r>
        <w:rPr>
          <w:lang w:val="sv-SE"/>
        </w:rPr>
        <w:t>.</w:t>
      </w:r>
      <w:r>
        <w:rPr>
          <w:rStyle w:val="FootnoteReference"/>
          <w:lang w:val="sv-SE"/>
        </w:rPr>
        <w:footnoteReference w:id="6"/>
      </w:r>
      <w:r w:rsidRPr="007222BC">
        <w:rPr>
          <w:lang w:val="sv-SE"/>
        </w:rPr>
        <w:t xml:space="preserve"> </w:t>
      </w:r>
      <w:r w:rsidRPr="0082420A">
        <w:rPr>
          <w:lang w:val="sv-SE"/>
        </w:rPr>
        <w:t xml:space="preserve">Baserat på antalet aktier i CoinShares per den 8 september 2025 skulle </w:t>
      </w:r>
      <w:r w:rsidRPr="00DE7B22">
        <w:rPr>
          <w:lang w:val="sv-SE"/>
        </w:rPr>
        <w:lastRenderedPageBreak/>
        <w:t>Utbytesförhållande</w:t>
      </w:r>
      <w:r>
        <w:rPr>
          <w:lang w:val="sv-SE"/>
        </w:rPr>
        <w:t xml:space="preserve">t </w:t>
      </w:r>
      <w:r w:rsidRPr="0082420A">
        <w:rPr>
          <w:lang w:val="sv-SE"/>
        </w:rPr>
        <w:t>motsvara cirka 1,8116 stamaktier i Odysseus Holdings.</w:t>
      </w:r>
      <w:r>
        <w:rPr>
          <w:rStyle w:val="FootnoteReference"/>
          <w:lang w:val="sv-SE"/>
        </w:rPr>
        <w:footnoteReference w:id="7"/>
      </w:r>
      <w:r w:rsidRPr="0082420A">
        <w:rPr>
          <w:lang w:val="sv-SE"/>
        </w:rPr>
        <w:t xml:space="preserve"> Det lägsta </w:t>
      </w:r>
      <w:r w:rsidRPr="00DE7B22">
        <w:rPr>
          <w:lang w:val="sv-SE"/>
        </w:rPr>
        <w:t>Utbytesförhållande</w:t>
      </w:r>
      <w:r>
        <w:rPr>
          <w:lang w:val="sv-SE"/>
        </w:rPr>
        <w:t xml:space="preserve">t </w:t>
      </w:r>
      <w:r w:rsidRPr="0082420A">
        <w:rPr>
          <w:lang w:val="sv-SE"/>
        </w:rPr>
        <w:t>är cirka 1,7782 stamaktier i Odysseus Holdings.</w:t>
      </w:r>
      <w:r>
        <w:rPr>
          <w:rStyle w:val="FootnoteReference"/>
          <w:lang w:val="sv-SE"/>
        </w:rPr>
        <w:footnoteReference w:id="8"/>
      </w:r>
      <w:r w:rsidRPr="0082420A">
        <w:rPr>
          <w:lang w:val="sv-SE"/>
        </w:rPr>
        <w:t xml:space="preserve"> Det högsta </w:t>
      </w:r>
      <w:r w:rsidRPr="00DE7B22">
        <w:rPr>
          <w:lang w:val="sv-SE"/>
        </w:rPr>
        <w:t>Utbytesförhållande</w:t>
      </w:r>
      <w:r>
        <w:rPr>
          <w:lang w:val="sv-SE"/>
        </w:rPr>
        <w:t xml:space="preserve">t </w:t>
      </w:r>
      <w:r w:rsidRPr="0082420A">
        <w:rPr>
          <w:lang w:val="sv-SE"/>
        </w:rPr>
        <w:t>är cirka 1,8319 stamaktier i Odysseus</w:t>
      </w:r>
      <w:r>
        <w:rPr>
          <w:lang w:val="sv-SE"/>
        </w:rPr>
        <w:t xml:space="preserve"> Holdings</w:t>
      </w:r>
      <w:r w:rsidRPr="0082420A">
        <w:rPr>
          <w:lang w:val="sv-SE"/>
        </w:rPr>
        <w:t>.</w:t>
      </w:r>
      <w:r>
        <w:rPr>
          <w:rStyle w:val="FootnoteReference"/>
          <w:lang w:val="sv-SE"/>
        </w:rPr>
        <w:footnoteReference w:id="9"/>
      </w:r>
    </w:p>
    <w:p w14:paraId="62A8FA9F" w14:textId="4A435095" w:rsidR="001428AE" w:rsidRPr="007924E3" w:rsidRDefault="002231DC" w:rsidP="001428AE">
      <w:pPr>
        <w:pStyle w:val="wText"/>
        <w:rPr>
          <w:lang w:val="sv-SE"/>
        </w:rPr>
      </w:pPr>
      <w:r w:rsidRPr="007924E3">
        <w:rPr>
          <w:lang w:val="sv-SE"/>
        </w:rPr>
        <w:t xml:space="preserve">Baserat på det genomsnittliga volymvägda priset </w:t>
      </w:r>
      <w:r>
        <w:rPr>
          <w:lang w:val="sv-SE"/>
        </w:rPr>
        <w:t xml:space="preserve">på </w:t>
      </w:r>
      <w:r w:rsidRPr="007924E3">
        <w:rPr>
          <w:lang w:val="sv-SE"/>
        </w:rPr>
        <w:t>CoinShares aktie på Nasdaq Stockholm under de senaste tio handelsdagarna</w:t>
      </w:r>
      <w:r>
        <w:rPr>
          <w:lang w:val="sv-SE"/>
        </w:rPr>
        <w:t>,</w:t>
      </w:r>
      <w:r w:rsidRPr="007924E3">
        <w:rPr>
          <w:lang w:val="sv-SE"/>
        </w:rPr>
        <w:t xml:space="preserve"> </w:t>
      </w:r>
      <w:r>
        <w:rPr>
          <w:lang w:val="sv-SE"/>
        </w:rPr>
        <w:t>motsvarar det ungefärliga vederlaget i Transaktionen, beräknat utifrån antalet utstående aktier och optioner per den 8 september 2025 i enlighet med villkoren i BCA, en premie om cirka:</w:t>
      </w:r>
      <w:r>
        <w:rPr>
          <w:rStyle w:val="FootnoteReference"/>
          <w:lang w:val="sv-SE"/>
        </w:rPr>
        <w:footnoteReference w:id="10"/>
      </w:r>
      <w:bookmarkEnd w:id="1"/>
    </w:p>
    <w:p w14:paraId="5374D871" w14:textId="6876358E" w:rsidR="001428AE" w:rsidRPr="007924E3" w:rsidRDefault="008F46B9" w:rsidP="001428AE">
      <w:pPr>
        <w:pStyle w:val="wText"/>
        <w:numPr>
          <w:ilvl w:val="0"/>
          <w:numId w:val="48"/>
        </w:numPr>
        <w:rPr>
          <w:lang w:val="sv-SE"/>
        </w:rPr>
      </w:pPr>
      <w:bookmarkStart w:id="2" w:name="_Hlk207740179"/>
      <w:r>
        <w:rPr>
          <w:lang w:val="sv-SE"/>
        </w:rPr>
        <w:t>30</w:t>
      </w:r>
      <w:r w:rsidR="001428AE" w:rsidRPr="007924E3">
        <w:rPr>
          <w:lang w:val="sv-SE"/>
        </w:rPr>
        <w:t>,</w:t>
      </w:r>
      <w:r>
        <w:rPr>
          <w:lang w:val="sv-SE"/>
        </w:rPr>
        <w:t>6</w:t>
      </w:r>
      <w:r w:rsidR="001428AE" w:rsidRPr="007924E3">
        <w:rPr>
          <w:lang w:val="sv-SE"/>
        </w:rPr>
        <w:t xml:space="preserve"> procent </w:t>
      </w:r>
      <w:r w:rsidR="001428AE">
        <w:rPr>
          <w:lang w:val="sv-SE"/>
        </w:rPr>
        <w:t>jämfört med</w:t>
      </w:r>
      <w:r w:rsidR="001428AE" w:rsidRPr="007924E3">
        <w:rPr>
          <w:lang w:val="sv-SE"/>
        </w:rPr>
        <w:t xml:space="preserve"> stängningskursen om 132,6 </w:t>
      </w:r>
      <w:r w:rsidR="001428AE">
        <w:rPr>
          <w:lang w:val="sv-SE"/>
        </w:rPr>
        <w:t>SEK</w:t>
      </w:r>
      <w:r w:rsidR="001428AE" w:rsidRPr="007924E3">
        <w:rPr>
          <w:lang w:val="sv-SE"/>
        </w:rPr>
        <w:t xml:space="preserve"> på Nasdaq Stockholm den 5 september 2025, vilket var den sista handelsdagen</w:t>
      </w:r>
      <w:r w:rsidR="001428AE" w:rsidRPr="007924E3">
        <w:rPr>
          <w:rStyle w:val="FootnoteReference"/>
          <w:lang w:val="sv-SE"/>
        </w:rPr>
        <w:footnoteReference w:id="11"/>
      </w:r>
      <w:r w:rsidR="001428AE" w:rsidRPr="007924E3">
        <w:rPr>
          <w:lang w:val="sv-SE"/>
        </w:rPr>
        <w:t xml:space="preserve"> före offentliggörandet av Transaktionen;</w:t>
      </w:r>
    </w:p>
    <w:p w14:paraId="44A03979" w14:textId="52967BFD" w:rsidR="001428AE" w:rsidRPr="007924E3" w:rsidRDefault="001428AE" w:rsidP="001428AE">
      <w:pPr>
        <w:pStyle w:val="wText"/>
        <w:numPr>
          <w:ilvl w:val="0"/>
          <w:numId w:val="48"/>
        </w:numPr>
        <w:rPr>
          <w:lang w:val="sv-SE"/>
        </w:rPr>
      </w:pPr>
      <w:r w:rsidRPr="007924E3">
        <w:rPr>
          <w:lang w:val="sv-SE"/>
        </w:rPr>
        <w:t>5</w:t>
      </w:r>
      <w:r w:rsidR="008F46B9">
        <w:rPr>
          <w:lang w:val="sv-SE"/>
        </w:rPr>
        <w:t>3</w:t>
      </w:r>
      <w:r w:rsidRPr="007924E3">
        <w:rPr>
          <w:lang w:val="sv-SE"/>
        </w:rPr>
        <w:t>,</w:t>
      </w:r>
      <w:r w:rsidR="008F46B9">
        <w:rPr>
          <w:lang w:val="sv-SE"/>
        </w:rPr>
        <w:t>0</w:t>
      </w:r>
      <w:r w:rsidRPr="007924E3">
        <w:rPr>
          <w:lang w:val="sv-SE"/>
        </w:rPr>
        <w:t xml:space="preserve"> procent </w:t>
      </w:r>
      <w:r>
        <w:rPr>
          <w:lang w:val="sv-SE"/>
        </w:rPr>
        <w:t>jämfört med</w:t>
      </w:r>
      <w:r w:rsidRPr="007924E3">
        <w:rPr>
          <w:lang w:val="sv-SE"/>
        </w:rPr>
        <w:t xml:space="preserve"> de</w:t>
      </w:r>
      <w:r>
        <w:rPr>
          <w:lang w:val="sv-SE"/>
        </w:rPr>
        <w:t>n</w:t>
      </w:r>
      <w:r w:rsidRPr="007924E3">
        <w:rPr>
          <w:lang w:val="sv-SE"/>
        </w:rPr>
        <w:t xml:space="preserve"> volymvägda genomsnittliga betalkursen om 113,2 </w:t>
      </w:r>
      <w:r>
        <w:rPr>
          <w:lang w:val="sv-SE"/>
        </w:rPr>
        <w:t>SEK</w:t>
      </w:r>
      <w:r w:rsidRPr="007924E3">
        <w:rPr>
          <w:lang w:val="sv-SE"/>
        </w:rPr>
        <w:t xml:space="preserve"> för aktierna på Nasdaq Stockholm under de senaste 30 handelsdagarna</w:t>
      </w:r>
      <w:r w:rsidRPr="007924E3">
        <w:rPr>
          <w:rStyle w:val="FootnoteReference"/>
          <w:lang w:val="sv-SE"/>
        </w:rPr>
        <w:footnoteReference w:id="12"/>
      </w:r>
      <w:r w:rsidRPr="007924E3">
        <w:rPr>
          <w:lang w:val="sv-SE"/>
        </w:rPr>
        <w:t xml:space="preserve"> före offentliggörandet av Transaktionen;</w:t>
      </w:r>
      <w:r>
        <w:rPr>
          <w:lang w:val="sv-SE"/>
        </w:rPr>
        <w:t xml:space="preserve"> och</w:t>
      </w:r>
    </w:p>
    <w:p w14:paraId="51C9A94D" w14:textId="468DD275" w:rsidR="001428AE" w:rsidRPr="007924E3" w:rsidRDefault="001428AE" w:rsidP="001428AE">
      <w:pPr>
        <w:pStyle w:val="wText"/>
        <w:numPr>
          <w:ilvl w:val="0"/>
          <w:numId w:val="48"/>
        </w:numPr>
        <w:rPr>
          <w:lang w:val="sv-SE"/>
        </w:rPr>
      </w:pPr>
      <w:r w:rsidRPr="007924E3">
        <w:rPr>
          <w:lang w:val="sv-SE"/>
        </w:rPr>
        <w:t>8</w:t>
      </w:r>
      <w:r w:rsidR="008F46B9">
        <w:rPr>
          <w:lang w:val="sv-SE"/>
        </w:rPr>
        <w:t>9</w:t>
      </w:r>
      <w:r w:rsidRPr="007924E3">
        <w:rPr>
          <w:lang w:val="sv-SE"/>
        </w:rPr>
        <w:t>,</w:t>
      </w:r>
      <w:r w:rsidR="008F46B9">
        <w:rPr>
          <w:lang w:val="sv-SE"/>
        </w:rPr>
        <w:t>0</w:t>
      </w:r>
      <w:r w:rsidRPr="007924E3">
        <w:rPr>
          <w:lang w:val="sv-SE"/>
        </w:rPr>
        <w:t xml:space="preserve"> procent </w:t>
      </w:r>
      <w:r>
        <w:rPr>
          <w:lang w:val="sv-SE"/>
        </w:rPr>
        <w:t>jämfört med</w:t>
      </w:r>
      <w:r w:rsidRPr="007924E3">
        <w:rPr>
          <w:lang w:val="sv-SE"/>
        </w:rPr>
        <w:t xml:space="preserve"> de</w:t>
      </w:r>
      <w:r>
        <w:rPr>
          <w:lang w:val="sv-SE"/>
        </w:rPr>
        <w:t>n</w:t>
      </w:r>
      <w:r w:rsidRPr="007924E3">
        <w:rPr>
          <w:lang w:val="sv-SE"/>
        </w:rPr>
        <w:t xml:space="preserve"> volymvägda genomsnittliga betalkursen om 91,6 </w:t>
      </w:r>
      <w:r>
        <w:rPr>
          <w:lang w:val="sv-SE"/>
        </w:rPr>
        <w:t>SEK</w:t>
      </w:r>
      <w:r w:rsidRPr="007924E3">
        <w:rPr>
          <w:lang w:val="sv-SE"/>
        </w:rPr>
        <w:t xml:space="preserve"> för aktierna på Nasdaq Stockholm under de senaste 180 handelsdagarna</w:t>
      </w:r>
      <w:r w:rsidRPr="007924E3">
        <w:rPr>
          <w:rStyle w:val="FootnoteReference"/>
          <w:lang w:val="sv-SE"/>
        </w:rPr>
        <w:footnoteReference w:id="13"/>
      </w:r>
      <w:r w:rsidRPr="007924E3">
        <w:rPr>
          <w:lang w:val="sv-SE"/>
        </w:rPr>
        <w:t xml:space="preserve"> före offentliggörandet av Transaktionen. </w:t>
      </w:r>
    </w:p>
    <w:bookmarkEnd w:id="2"/>
    <w:p w14:paraId="3BDAE784" w14:textId="7E1EBD71" w:rsidR="001428AE" w:rsidRDefault="001428AE" w:rsidP="00915C75">
      <w:pPr>
        <w:pStyle w:val="wText"/>
        <w:rPr>
          <w:b/>
          <w:bCs/>
          <w:lang w:val="sv-SE"/>
        </w:rPr>
      </w:pPr>
      <w:r w:rsidRPr="001428AE">
        <w:rPr>
          <w:b/>
          <w:bCs/>
          <w:lang w:val="sv-SE"/>
        </w:rPr>
        <w:t>Styrelsens utvärdering av Transaktionen</w:t>
      </w:r>
    </w:p>
    <w:p w14:paraId="38BF3879" w14:textId="3E825998" w:rsidR="001428AE" w:rsidRDefault="002038AE" w:rsidP="00915C75">
      <w:pPr>
        <w:pStyle w:val="wText"/>
        <w:rPr>
          <w:lang w:val="sv-SE"/>
        </w:rPr>
      </w:pPr>
      <w:r w:rsidRPr="00C8421C">
        <w:rPr>
          <w:lang w:val="sv-SE"/>
        </w:rPr>
        <w:t xml:space="preserve">Styrelsens uppfattning om Transaktionen baseras på en bedömning av ett antal faktorer som styrelsen har ansett vara relevanta för utvärderingen av Transaktionen. Dessa faktorer inkluderar, men är inte begränsade till, strategiska fördelar med Transaktionen och premien för CoinShares aktieägare. Styrelsen anser att Transaktionen utgör en strategisk möjlighet att ompositionera CoinShares på den amerikanska kapitalmarknaden, vilket gör det möjligt för CoinShares att få tillgång till en större krets av institutionella investerare, dra nytta av förbättrad </w:t>
      </w:r>
      <w:r>
        <w:rPr>
          <w:lang w:val="sv-SE"/>
        </w:rPr>
        <w:t>bevakning av aktieanalytiker</w:t>
      </w:r>
      <w:r w:rsidRPr="00C8421C">
        <w:rPr>
          <w:lang w:val="sv-SE"/>
        </w:rPr>
        <w:t xml:space="preserve">, och anpassa sin noteringsplats till sina globala tillväxtambitioner, inklusive att bygga varumärkeskännedom för </w:t>
      </w:r>
      <w:r>
        <w:rPr>
          <w:lang w:val="sv-SE"/>
        </w:rPr>
        <w:t>produkt</w:t>
      </w:r>
      <w:r w:rsidRPr="00C8421C">
        <w:rPr>
          <w:lang w:val="sv-SE"/>
        </w:rPr>
        <w:t>lanseringar i USA som ett amerikanskt noterat bolag</w:t>
      </w:r>
      <w:r>
        <w:rPr>
          <w:lang w:val="sv-SE"/>
        </w:rPr>
        <w:t>.</w:t>
      </w:r>
      <w:r w:rsidRPr="00C8421C">
        <w:rPr>
          <w:lang w:val="sv-SE"/>
        </w:rPr>
        <w:t xml:space="preserve"> vilket kommer att stödja CoinShares strategiska inträde på den amerikanska marknaden, </w:t>
      </w:r>
      <w:r w:rsidRPr="007924E3">
        <w:rPr>
          <w:lang w:val="sv-SE"/>
        </w:rPr>
        <w:t xml:space="preserve">som </w:t>
      </w:r>
      <w:r>
        <w:rPr>
          <w:lang w:val="sv-SE"/>
        </w:rPr>
        <w:t>bolaget</w:t>
      </w:r>
      <w:r w:rsidRPr="007924E3">
        <w:rPr>
          <w:lang w:val="sv-SE"/>
        </w:rPr>
        <w:t xml:space="preserve"> anser </w:t>
      </w:r>
      <w:r>
        <w:rPr>
          <w:lang w:val="sv-SE"/>
        </w:rPr>
        <w:t>ger</w:t>
      </w:r>
      <w:r w:rsidRPr="007924E3">
        <w:rPr>
          <w:lang w:val="sv-SE"/>
        </w:rPr>
        <w:t xml:space="preserve"> </w:t>
      </w:r>
      <w:r>
        <w:rPr>
          <w:lang w:val="sv-SE"/>
        </w:rPr>
        <w:t>möjligheter</w:t>
      </w:r>
      <w:r w:rsidRPr="007924E3">
        <w:rPr>
          <w:lang w:val="sv-SE"/>
        </w:rPr>
        <w:t xml:space="preserve"> </w:t>
      </w:r>
      <w:r>
        <w:rPr>
          <w:lang w:val="sv-SE"/>
        </w:rPr>
        <w:t>för en</w:t>
      </w:r>
      <w:r w:rsidRPr="007924E3">
        <w:rPr>
          <w:lang w:val="sv-SE"/>
        </w:rPr>
        <w:t xml:space="preserve"> öka</w:t>
      </w:r>
      <w:r>
        <w:rPr>
          <w:lang w:val="sv-SE"/>
        </w:rPr>
        <w:t>d</w:t>
      </w:r>
      <w:r w:rsidRPr="007924E3">
        <w:rPr>
          <w:lang w:val="sv-SE"/>
        </w:rPr>
        <w:t xml:space="preserve"> omsättning</w:t>
      </w:r>
      <w:r w:rsidR="00C8421C" w:rsidRPr="00C8421C">
        <w:rPr>
          <w:lang w:val="sv-SE"/>
        </w:rPr>
        <w:t>.</w:t>
      </w:r>
    </w:p>
    <w:p w14:paraId="7B6FC94C" w14:textId="74FE5386" w:rsidR="008E4EC5" w:rsidRDefault="008E4EC5" w:rsidP="008E4EC5">
      <w:pPr>
        <w:pStyle w:val="wText"/>
        <w:rPr>
          <w:lang w:val="sv-SE"/>
        </w:rPr>
      </w:pPr>
      <w:r w:rsidRPr="008E4EC5">
        <w:rPr>
          <w:lang w:val="sv-SE"/>
        </w:rPr>
        <w:t>Vidare har styrelsen erhållit ett värderingsutlåtande daterat den 7 september 2025 utfärdat av Eight Advisory UK Limited (”</w:t>
      </w:r>
      <w:r w:rsidRPr="008E4EC5">
        <w:rPr>
          <w:b/>
          <w:bCs/>
          <w:lang w:val="sv-SE"/>
        </w:rPr>
        <w:t>Fairness Opinion</w:t>
      </w:r>
      <w:r w:rsidRPr="008E4EC5">
        <w:rPr>
          <w:lang w:val="sv-SE"/>
        </w:rPr>
        <w:t xml:space="preserve">”) som återspeglar deras uppfattning per det datumet att, på grundval av övervägandena däri, den ersättning som Odysseus Holdings ska betala är skälig, ur </w:t>
      </w:r>
      <w:r w:rsidRPr="008E4EC5">
        <w:rPr>
          <w:lang w:val="sv-SE"/>
        </w:rPr>
        <w:lastRenderedPageBreak/>
        <w:t xml:space="preserve">finansiell synvinkel, till CoinShares i enlighet med </w:t>
      </w:r>
      <w:r>
        <w:rPr>
          <w:lang w:val="sv-SE"/>
        </w:rPr>
        <w:t>punkt</w:t>
      </w:r>
      <w:r w:rsidRPr="008E4EC5">
        <w:rPr>
          <w:lang w:val="sv-SE"/>
        </w:rPr>
        <w:t xml:space="preserve"> II.19 och III.3 i Takeover-reglerna för Nasdaq Stockholm och Nordic Growth Market NGM (”</w:t>
      </w:r>
      <w:r w:rsidRPr="008E4EC5">
        <w:rPr>
          <w:b/>
          <w:bCs/>
          <w:lang w:val="sv-SE"/>
        </w:rPr>
        <w:t>Takeover-reglerna</w:t>
      </w:r>
      <w:r w:rsidRPr="008E4EC5">
        <w:rPr>
          <w:lang w:val="sv-SE"/>
        </w:rPr>
        <w:t>”).</w:t>
      </w:r>
      <w:r>
        <w:rPr>
          <w:lang w:val="sv-SE"/>
        </w:rPr>
        <w:t xml:space="preserve"> </w:t>
      </w:r>
    </w:p>
    <w:p w14:paraId="65D4AC6D" w14:textId="3EECC2CB" w:rsidR="00D4062E" w:rsidRPr="008E4EC5" w:rsidRDefault="00D4062E" w:rsidP="008E4EC5">
      <w:pPr>
        <w:pStyle w:val="wText"/>
        <w:rPr>
          <w:lang w:val="sv-SE"/>
        </w:rPr>
      </w:pPr>
      <w:r w:rsidRPr="00D4062E">
        <w:rPr>
          <w:lang w:val="sv-SE"/>
        </w:rPr>
        <w:t>Styrelsen anser att vederlaget är skäligt ur finansiell synpunkt för CoinShares aktieägare, och denna uppfattning stöds av Eight Advisory UK Limiteds värderingsutlåtande, enligt vilket vederlaget som CoinShares aktieägare erhåller i Transaktionen, per det datumet och baserat på samt med förbehåll för de antaganden och begränsningar som anges däri, är skäligt ur finansiell synpunkt för dessa aktieägare.</w:t>
      </w:r>
    </w:p>
    <w:p w14:paraId="53D329E9" w14:textId="1B6874D5" w:rsidR="008E4EC5" w:rsidRDefault="00D4062E" w:rsidP="00915C75">
      <w:pPr>
        <w:pStyle w:val="wText"/>
        <w:rPr>
          <w:lang w:val="sv-SE"/>
        </w:rPr>
      </w:pPr>
      <w:r w:rsidRPr="00D4062E">
        <w:rPr>
          <w:lang w:val="sv-SE"/>
        </w:rPr>
        <w:t>Mot bakgrund av ovanstående rekommenderar styrelsen enhälligt CoinShares aktieägare att rösta för Transaktionen vid bolagsstämman som förväntas hållas omkring den 8 december 2025.</w:t>
      </w:r>
    </w:p>
    <w:p w14:paraId="185C5F05" w14:textId="77777777" w:rsidR="00D4062E" w:rsidRPr="00D4062E" w:rsidRDefault="00D4062E" w:rsidP="00D4062E">
      <w:pPr>
        <w:pStyle w:val="NormalWeb"/>
        <w:spacing w:after="180"/>
        <w:rPr>
          <w:b/>
          <w:bCs/>
          <w:sz w:val="22"/>
          <w:szCs w:val="22"/>
          <w:lang w:val="sv-SE"/>
        </w:rPr>
      </w:pPr>
      <w:r w:rsidRPr="00D4062E">
        <w:rPr>
          <w:b/>
          <w:bCs/>
          <w:sz w:val="22"/>
          <w:szCs w:val="22"/>
          <w:lang w:val="sv-SE"/>
        </w:rPr>
        <w:t>Påverkan på CoinShares och dess anställda</w:t>
      </w:r>
    </w:p>
    <w:p w14:paraId="2AB612FE" w14:textId="77777777" w:rsidR="00D4062E" w:rsidRPr="00D4062E" w:rsidRDefault="00D4062E" w:rsidP="00D4062E">
      <w:pPr>
        <w:pStyle w:val="NormalWeb"/>
        <w:spacing w:after="180"/>
        <w:jc w:val="both"/>
        <w:rPr>
          <w:sz w:val="22"/>
          <w:szCs w:val="22"/>
          <w:lang w:val="sv-SE"/>
        </w:rPr>
      </w:pPr>
      <w:r w:rsidRPr="00D4062E">
        <w:rPr>
          <w:sz w:val="22"/>
          <w:szCs w:val="22"/>
          <w:lang w:val="sv-SE"/>
        </w:rPr>
        <w:t>Det finns i nuläget inga beslut om några väsentliga förändringar för CoinShares anställda eller av den nuvarande organisationen och verksamheten, inklusive anställningsvillkor och de platser verksamhet bedrivs.</w:t>
      </w:r>
    </w:p>
    <w:p w14:paraId="067F74CA" w14:textId="77777777" w:rsidR="006161EE" w:rsidRPr="006161EE" w:rsidRDefault="006161EE" w:rsidP="006161EE">
      <w:pPr>
        <w:pStyle w:val="NormalWeb"/>
        <w:spacing w:after="180"/>
        <w:jc w:val="both"/>
        <w:rPr>
          <w:b/>
          <w:bCs/>
          <w:sz w:val="22"/>
          <w:szCs w:val="22"/>
          <w:lang w:val="sv-SE"/>
        </w:rPr>
      </w:pPr>
      <w:r w:rsidRPr="006161EE">
        <w:rPr>
          <w:b/>
          <w:bCs/>
          <w:sz w:val="22"/>
          <w:szCs w:val="22"/>
          <w:lang w:val="sv-SE"/>
        </w:rPr>
        <w:t>Kort beskrivning av Odysseus Holdings</w:t>
      </w:r>
    </w:p>
    <w:p w14:paraId="62B0233A" w14:textId="77777777" w:rsidR="006161EE" w:rsidRPr="006161EE" w:rsidRDefault="006161EE" w:rsidP="006161EE">
      <w:pPr>
        <w:pStyle w:val="NormalWeb"/>
        <w:spacing w:after="180"/>
        <w:jc w:val="both"/>
        <w:rPr>
          <w:sz w:val="22"/>
          <w:szCs w:val="22"/>
          <w:lang w:val="sv-SE"/>
        </w:rPr>
      </w:pPr>
      <w:r w:rsidRPr="006161EE">
        <w:rPr>
          <w:sz w:val="22"/>
          <w:szCs w:val="22"/>
          <w:lang w:val="sv-SE"/>
        </w:rPr>
        <w:t>Odysseus Holdings är ett nybildat bolag på Jersey som grundats i enlighet med BCA. Det tjänar uteslutande som ett medel inom den av CoinShares och Vine Hill initierade och förutbestämda transaktionsstrukturen, i enlighet med BCA.</w:t>
      </w:r>
    </w:p>
    <w:p w14:paraId="1A444A9B" w14:textId="77777777" w:rsidR="006161EE" w:rsidRPr="006161EE" w:rsidRDefault="006161EE" w:rsidP="006161EE">
      <w:pPr>
        <w:pStyle w:val="NormalWeb"/>
        <w:spacing w:after="180"/>
        <w:jc w:val="both"/>
        <w:rPr>
          <w:sz w:val="22"/>
          <w:szCs w:val="22"/>
          <w:lang w:val="sv-SE"/>
        </w:rPr>
      </w:pPr>
      <w:r w:rsidRPr="006161EE">
        <w:rPr>
          <w:b/>
          <w:bCs/>
          <w:sz w:val="22"/>
          <w:szCs w:val="22"/>
          <w:lang w:val="sv-SE"/>
        </w:rPr>
        <w:t>Kort beskrivning av CoinShares</w:t>
      </w:r>
    </w:p>
    <w:p w14:paraId="48EECA50" w14:textId="77777777" w:rsidR="006161EE" w:rsidRPr="006161EE" w:rsidRDefault="006161EE" w:rsidP="006161EE">
      <w:pPr>
        <w:pStyle w:val="NormalWeb"/>
        <w:spacing w:after="180"/>
        <w:jc w:val="both"/>
        <w:rPr>
          <w:sz w:val="22"/>
          <w:szCs w:val="22"/>
          <w:lang w:val="sv-SE"/>
        </w:rPr>
      </w:pPr>
      <w:r w:rsidRPr="006161EE">
        <w:rPr>
          <w:sz w:val="22"/>
          <w:szCs w:val="22"/>
          <w:lang w:val="sv-SE"/>
        </w:rPr>
        <w:t>CoinShares är en ledande europeisk kapitalförvaltare som specialiserar sig på digitala tillgångar och erbjuder ett brett utbud av finansiella tjänster inom investeringsförvaltning, handel och värdepapper till en rad olika kunder, däribland bolag, finansinstitut och privatpersoner. Bolaget har fokuserat på kryptovalutor sedan 2013 och har sitt huvudkontor på Jersey samt kontor i Frankrike, Sverige, Schweiz, Storbritannien och USA. CoinShares regleras på Jersey av Jersey Financial Services Commission, i Frankrike av Autorité des marchés financiers och i USA av SEC, National Futures Association och Financial Industry Regulatory Authority. CoinShares är noterat på Nasdaq Stockholm under tickern CS och på OTCQX under tickern CNSRF.</w:t>
      </w:r>
    </w:p>
    <w:p w14:paraId="0BD44D23" w14:textId="77777777" w:rsidR="006161EE" w:rsidRPr="006161EE" w:rsidRDefault="006161EE" w:rsidP="006161EE">
      <w:pPr>
        <w:pStyle w:val="NormalWeb"/>
        <w:spacing w:after="180"/>
        <w:jc w:val="both"/>
        <w:rPr>
          <w:b/>
          <w:bCs/>
          <w:sz w:val="22"/>
          <w:szCs w:val="22"/>
          <w:lang w:val="sv-SE"/>
        </w:rPr>
      </w:pPr>
      <w:r w:rsidRPr="006161EE">
        <w:rPr>
          <w:b/>
          <w:bCs/>
          <w:sz w:val="22"/>
          <w:szCs w:val="22"/>
          <w:lang w:val="sv-SE"/>
        </w:rPr>
        <w:t>Kort beskrivning av Vine Hill</w:t>
      </w:r>
    </w:p>
    <w:p w14:paraId="6A9FE4AB" w14:textId="77777777" w:rsidR="006161EE" w:rsidRPr="006161EE" w:rsidRDefault="006161EE" w:rsidP="006161EE">
      <w:pPr>
        <w:pStyle w:val="NormalWeb"/>
        <w:spacing w:after="180"/>
        <w:jc w:val="both"/>
        <w:rPr>
          <w:sz w:val="22"/>
          <w:szCs w:val="22"/>
          <w:lang w:val="sv-SE"/>
        </w:rPr>
      </w:pPr>
      <w:r w:rsidRPr="006161EE">
        <w:rPr>
          <w:sz w:val="22"/>
          <w:szCs w:val="22"/>
          <w:lang w:val="sv-SE"/>
        </w:rPr>
        <w:t xml:space="preserve">Vine Hill grundades i syfte att genomföra fusioner, aktiebyten, förvärv av tillgångar, aktieköp, omorganisationer eller liknande samgåenden med ett eller flera bolag, och ingår i Vine Hill Capital Partners, som är en ledande alternativ investeringsförvaltare som hjälper bolag att nå sin fulla potential och frigöra aktieägarvärde genom att utnyttja de offentliga marknaderna. Vine Hill är noterat på Nasdaq Stock Market under tickern VCIC. </w:t>
      </w:r>
    </w:p>
    <w:p w14:paraId="2862AB81" w14:textId="77777777" w:rsidR="00363389" w:rsidRPr="00363389" w:rsidRDefault="00363389" w:rsidP="00363389">
      <w:pPr>
        <w:pStyle w:val="NormalWeb"/>
        <w:spacing w:after="180"/>
        <w:jc w:val="both"/>
        <w:rPr>
          <w:b/>
          <w:bCs/>
          <w:sz w:val="22"/>
          <w:szCs w:val="22"/>
          <w:lang w:val="sv-SE"/>
        </w:rPr>
      </w:pPr>
      <w:r w:rsidRPr="00363389">
        <w:rPr>
          <w:b/>
          <w:bCs/>
          <w:sz w:val="22"/>
          <w:szCs w:val="22"/>
          <w:lang w:val="sv-SE"/>
        </w:rPr>
        <w:t>Vissa närståendefrågor</w:t>
      </w:r>
    </w:p>
    <w:p w14:paraId="2A426DC5" w14:textId="1DE2D473" w:rsidR="00363389" w:rsidRPr="00363389" w:rsidRDefault="00363389" w:rsidP="00363389">
      <w:pPr>
        <w:pStyle w:val="NormalWeb"/>
        <w:spacing w:after="180"/>
        <w:jc w:val="both"/>
        <w:rPr>
          <w:sz w:val="22"/>
          <w:szCs w:val="22"/>
          <w:lang w:val="sv-SE"/>
        </w:rPr>
      </w:pPr>
      <w:r w:rsidRPr="00363389">
        <w:rPr>
          <w:sz w:val="22"/>
          <w:szCs w:val="22"/>
          <w:lang w:val="sv-SE"/>
        </w:rPr>
        <w:t xml:space="preserve">Per dagen för detta pressmeddelande är Odysseus Holdings helägt av Jeri-Lea Brown, som är knuten till CoinShares genom sin anställning hos CoinShares som </w:t>
      </w:r>
      <w:r w:rsidRPr="00363389">
        <w:rPr>
          <w:i/>
          <w:iCs/>
          <w:sz w:val="22"/>
          <w:szCs w:val="22"/>
          <w:lang w:val="sv-SE"/>
        </w:rPr>
        <w:t>Company Secretary</w:t>
      </w:r>
      <w:r w:rsidRPr="00363389">
        <w:rPr>
          <w:sz w:val="22"/>
          <w:szCs w:val="22"/>
          <w:lang w:val="sv-SE"/>
        </w:rPr>
        <w:t xml:space="preserve">. Jeri-Lea Browns engagemang i Odysseus Holdings syftar enbart till att underlätta Transaktionen såsom beskrivs häri och </w:t>
      </w:r>
      <w:r>
        <w:rPr>
          <w:sz w:val="22"/>
          <w:szCs w:val="22"/>
          <w:lang w:val="sv-SE"/>
        </w:rPr>
        <w:t xml:space="preserve">kommer </w:t>
      </w:r>
      <w:r w:rsidRPr="00363389">
        <w:rPr>
          <w:sz w:val="22"/>
          <w:szCs w:val="22"/>
          <w:lang w:val="sv-SE"/>
        </w:rPr>
        <w:t>i enlighet med Odysseus Holdings åtaganden i BCA.</w:t>
      </w:r>
    </w:p>
    <w:p w14:paraId="2A780042" w14:textId="77777777" w:rsidR="001E1399" w:rsidRPr="001E1399" w:rsidRDefault="001E1399" w:rsidP="001E1399">
      <w:pPr>
        <w:pStyle w:val="NormalWeb"/>
        <w:spacing w:after="180"/>
        <w:jc w:val="both"/>
        <w:rPr>
          <w:sz w:val="22"/>
          <w:szCs w:val="22"/>
          <w:lang w:val="sv-SE"/>
        </w:rPr>
      </w:pPr>
      <w:bookmarkStart w:id="3" w:name="_Hlk208218297"/>
      <w:r w:rsidRPr="001E1399">
        <w:rPr>
          <w:sz w:val="22"/>
          <w:szCs w:val="22"/>
          <w:lang w:val="sv-SE"/>
        </w:rPr>
        <w:t>Per dagen för detta pressmeddelande innehar Odysseus Holdings indirekt 2 000 stamaktier och 5 608 optioner i CoinShares, vilket motsvarar mindre än 0,001 procent av aktierna och rösterna i CoinShares.</w:t>
      </w:r>
      <w:r>
        <w:rPr>
          <w:rStyle w:val="FootnoteReference"/>
          <w:sz w:val="22"/>
          <w:szCs w:val="22"/>
        </w:rPr>
        <w:footnoteReference w:id="14"/>
      </w:r>
      <w:r w:rsidRPr="001E1399">
        <w:rPr>
          <w:sz w:val="22"/>
          <w:szCs w:val="22"/>
          <w:lang w:val="sv-SE"/>
        </w:rPr>
        <w:t xml:space="preserve"> Jeri-Lea Browns deltagande i Transaktionen innebär att avsnitt III i Takeover-reglerna är tillämpliga på Transaktionen, vilket innebär att CoinShares är skyldigt att inhämta och offentliggöra ett värderingsutlåtande om Transaktionen från en oberoende expert. Som anges ovan under </w:t>
      </w:r>
      <w:r w:rsidRPr="001E1399">
        <w:rPr>
          <w:sz w:val="22"/>
          <w:szCs w:val="22"/>
          <w:lang w:val="sv-SE"/>
        </w:rPr>
        <w:lastRenderedPageBreak/>
        <w:t>”</w:t>
      </w:r>
      <w:r w:rsidRPr="001E1399">
        <w:rPr>
          <w:i/>
          <w:iCs/>
          <w:sz w:val="22"/>
          <w:szCs w:val="22"/>
          <w:lang w:val="sv-SE"/>
        </w:rPr>
        <w:t>Rekommendation från CoinShares styrelse och värderingsutlåtande</w:t>
      </w:r>
      <w:r w:rsidRPr="001E1399">
        <w:rPr>
          <w:sz w:val="22"/>
          <w:szCs w:val="22"/>
          <w:lang w:val="sv-SE"/>
        </w:rPr>
        <w:t>” har CoinShares styrelse erhållit ett värderingsutlåtande från Eight Advisory UK Limited.</w:t>
      </w:r>
    </w:p>
    <w:bookmarkEnd w:id="3"/>
    <w:p w14:paraId="78894503" w14:textId="77777777" w:rsidR="001E1399" w:rsidRPr="001E1399" w:rsidRDefault="001E1399" w:rsidP="001E1399">
      <w:pPr>
        <w:pStyle w:val="wText"/>
        <w:rPr>
          <w:lang w:val="sv-SE"/>
        </w:rPr>
      </w:pPr>
      <w:r w:rsidRPr="001E1399">
        <w:rPr>
          <w:b/>
          <w:bCs/>
          <w:lang w:val="sv-SE"/>
        </w:rPr>
        <w:t>Rådgivare</w:t>
      </w:r>
    </w:p>
    <w:p w14:paraId="452969B1" w14:textId="77777777" w:rsidR="001E1399" w:rsidRPr="001E1399" w:rsidRDefault="001E1399" w:rsidP="001E1399">
      <w:pPr>
        <w:pStyle w:val="wText"/>
        <w:rPr>
          <w:lang w:val="sv-SE"/>
        </w:rPr>
      </w:pPr>
      <w:r w:rsidRPr="001E1399">
        <w:rPr>
          <w:lang w:val="sv-SE"/>
        </w:rPr>
        <w:t>Stifel och Keefe, Bruyette &amp; Woods (KBW) agerar som finansiell rådgivare till CoinShares i samband med Transaktionen. White &amp; Case (avseende amerikansk, brittisk och svensk rätt) och Carey Olsen (avseende jerseysk och caymansk rätt) agerar som juridiska rådgivare till CoinShares i samband med Transaktionen</w:t>
      </w:r>
    </w:p>
    <w:p w14:paraId="4B14A73E" w14:textId="77777777" w:rsidR="001E1399" w:rsidRPr="001E1399" w:rsidRDefault="001E1399" w:rsidP="001E1399">
      <w:pPr>
        <w:pStyle w:val="NormalWeb"/>
        <w:spacing w:after="180"/>
        <w:jc w:val="both"/>
        <w:rPr>
          <w:b/>
          <w:bCs/>
          <w:sz w:val="22"/>
          <w:szCs w:val="22"/>
          <w:lang w:val="sv-SE"/>
        </w:rPr>
      </w:pPr>
      <w:r w:rsidRPr="001E1399">
        <w:rPr>
          <w:b/>
          <w:bCs/>
          <w:sz w:val="22"/>
          <w:szCs w:val="22"/>
          <w:lang w:val="sv-SE"/>
        </w:rPr>
        <w:t>Information om Transaktionen</w:t>
      </w:r>
    </w:p>
    <w:p w14:paraId="7260D08F" w14:textId="77777777" w:rsidR="001E1399" w:rsidRPr="007924E3" w:rsidRDefault="001E1399" w:rsidP="001E1399">
      <w:pPr>
        <w:pStyle w:val="wText"/>
        <w:rPr>
          <w:lang w:val="sv-SE"/>
        </w:rPr>
      </w:pPr>
      <w:r w:rsidRPr="007924E3">
        <w:rPr>
          <w:lang w:val="sv-SE"/>
        </w:rPr>
        <w:t xml:space="preserve">Information om Transaktionen finns tillgänglig på </w:t>
      </w:r>
      <w:hyperlink r:id="rId8" w:history="1">
        <w:r w:rsidRPr="00B657C6">
          <w:rPr>
            <w:rStyle w:val="Hyperlink"/>
            <w:lang w:val="sv-SE"/>
          </w:rPr>
          <w:t>www.coinshares-bidco.com</w:t>
        </w:r>
      </w:hyperlink>
      <w:r w:rsidRPr="007924E3">
        <w:rPr>
          <w:lang w:val="sv-SE"/>
        </w:rPr>
        <w:t xml:space="preserve">. </w:t>
      </w:r>
    </w:p>
    <w:p w14:paraId="072DF264" w14:textId="77777777" w:rsidR="001E1399" w:rsidRPr="007924E3" w:rsidRDefault="001E1399" w:rsidP="001E1399">
      <w:pPr>
        <w:pStyle w:val="wText"/>
        <w:rPr>
          <w:lang w:val="sv-SE"/>
        </w:rPr>
      </w:pPr>
      <w:r w:rsidRPr="007924E3">
        <w:rPr>
          <w:b/>
          <w:bCs/>
          <w:lang w:val="sv-SE"/>
        </w:rPr>
        <w:t>För frågor om Transaktionen, vänligen kontakta:</w:t>
      </w:r>
    </w:p>
    <w:p w14:paraId="08B8A44C" w14:textId="77777777" w:rsidR="001E1399" w:rsidRPr="007924E3" w:rsidRDefault="001E1399" w:rsidP="001E1399">
      <w:pPr>
        <w:pStyle w:val="wText"/>
        <w:rPr>
          <w:i/>
          <w:iCs/>
        </w:rPr>
      </w:pPr>
      <w:r w:rsidRPr="007924E3">
        <w:rPr>
          <w:i/>
          <w:iCs/>
        </w:rPr>
        <w:t>Odysseus Holdings</w:t>
      </w:r>
    </w:p>
    <w:p w14:paraId="2E83B367" w14:textId="77777777" w:rsidR="001E1399" w:rsidRPr="007924E3" w:rsidRDefault="001E1399" w:rsidP="001E1399">
      <w:pPr>
        <w:pStyle w:val="wText"/>
      </w:pPr>
      <w:r w:rsidRPr="007924E3">
        <w:t>Jeri-Lea Brown, Director, jbrown@coinshares.com</w:t>
      </w:r>
    </w:p>
    <w:p w14:paraId="0D864E50" w14:textId="77777777" w:rsidR="001E1399" w:rsidRPr="007924E3" w:rsidRDefault="001E1399" w:rsidP="001E1399">
      <w:pPr>
        <w:pStyle w:val="wText"/>
        <w:rPr>
          <w:i/>
          <w:iCs/>
          <w:lang w:val="en-GB"/>
        </w:rPr>
      </w:pPr>
      <w:r w:rsidRPr="007924E3">
        <w:rPr>
          <w:i/>
          <w:iCs/>
          <w:lang w:val="en-GB"/>
        </w:rPr>
        <w:t>CoinShares</w:t>
      </w:r>
    </w:p>
    <w:p w14:paraId="74770902" w14:textId="77777777" w:rsidR="001E1399" w:rsidRPr="007924E3" w:rsidRDefault="001E1399" w:rsidP="001E1399">
      <w:pPr>
        <w:pStyle w:val="wText"/>
        <w:rPr>
          <w:lang w:val="en-GB"/>
        </w:rPr>
      </w:pPr>
      <w:r w:rsidRPr="007924E3">
        <w:t>Benoît Pellevoizin, Head of Marketing &amp; Communications, bpellevoizin@coinshares.com</w:t>
      </w:r>
    </w:p>
    <w:p w14:paraId="4B3A585A" w14:textId="2DAB497E" w:rsidR="00D4062E" w:rsidRPr="00C8421C" w:rsidRDefault="001E1399" w:rsidP="00915C75">
      <w:pPr>
        <w:pStyle w:val="wText"/>
        <w:rPr>
          <w:lang w:val="sv-SE"/>
        </w:rPr>
      </w:pPr>
      <w:r w:rsidRPr="007924E3">
        <w:rPr>
          <w:i/>
          <w:iCs/>
          <w:lang w:val="sv-SE"/>
        </w:rPr>
        <w:t>Denna information innehåller uppgifter som CoinShares International Limited är skyldigt att offentliggöra enligt EU:s marknadsmissbruksförordning (EU nr 596/2014) och som Odysseus Holdings Limited är skyldigt att offentliggöra enligt Takeover-reglerna. Informationen lämnades för offentliggörande, genom ovan angiven kontaktperson, kl. 1</w:t>
      </w:r>
      <w:r>
        <w:rPr>
          <w:i/>
          <w:iCs/>
          <w:lang w:val="sv-SE"/>
        </w:rPr>
        <w:t>3</w:t>
      </w:r>
      <w:r w:rsidRPr="007924E3">
        <w:rPr>
          <w:i/>
          <w:iCs/>
          <w:lang w:val="sv-SE"/>
        </w:rPr>
        <w:t>:</w:t>
      </w:r>
      <w:r>
        <w:rPr>
          <w:i/>
          <w:iCs/>
          <w:lang w:val="sv-SE"/>
        </w:rPr>
        <w:t>55</w:t>
      </w:r>
      <w:r w:rsidRPr="007924E3">
        <w:rPr>
          <w:i/>
          <w:iCs/>
          <w:lang w:val="sv-SE"/>
        </w:rPr>
        <w:t xml:space="preserve"> CEST den 8 september 2025.</w:t>
      </w:r>
    </w:p>
    <w:sectPr w:rsidR="00D4062E" w:rsidRPr="00C8421C" w:rsidSect="00CC1ED3">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24CA5" w14:textId="77777777" w:rsidR="002B5D05" w:rsidRPr="00821FA1" w:rsidRDefault="002B5D05">
      <w:r w:rsidRPr="00821FA1">
        <w:separator/>
      </w:r>
    </w:p>
  </w:endnote>
  <w:endnote w:type="continuationSeparator" w:id="0">
    <w:p w14:paraId="450C8835" w14:textId="77777777" w:rsidR="002B5D05" w:rsidRPr="00821FA1" w:rsidRDefault="002B5D05">
      <w:r w:rsidRPr="00821F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0112B" w14:textId="77777777" w:rsidR="007B5B3F" w:rsidRDefault="007B5B3F" w:rsidP="00422980">
    <w:pPr>
      <w:pStyle w:val="Footer"/>
    </w:pPr>
  </w:p>
  <w:tbl>
    <w:tblPr>
      <w:tblW w:w="9243" w:type="dxa"/>
      <w:tblLayout w:type="fixed"/>
      <w:tblLook w:val="0000" w:firstRow="0" w:lastRow="0" w:firstColumn="0" w:lastColumn="0" w:noHBand="0" w:noVBand="0"/>
    </w:tblPr>
    <w:tblGrid>
      <w:gridCol w:w="3697"/>
      <w:gridCol w:w="1849"/>
      <w:gridCol w:w="3697"/>
    </w:tblGrid>
    <w:tr w:rsidR="007B5B3F" w:rsidRPr="00821FA1" w14:paraId="4890D645" w14:textId="77777777" w:rsidTr="005B0CA3">
      <w:tc>
        <w:tcPr>
          <w:tcW w:w="2000" w:type="pct"/>
          <w:shd w:val="clear" w:color="auto" w:fill="auto"/>
          <w:vAlign w:val="bottom"/>
        </w:tcPr>
        <w:p w14:paraId="588F5970" w14:textId="77777777" w:rsidR="008E6C9C" w:rsidRDefault="008E6C9C" w:rsidP="00422980">
          <w:pPr>
            <w:pStyle w:val="Footer"/>
            <w:rPr>
              <w:sz w:val="12"/>
            </w:rPr>
          </w:pPr>
          <w:r>
            <w:rPr>
              <w:sz w:val="12"/>
            </w:rPr>
            <w:t>15/01/2018 06:44</w:t>
          </w:r>
        </w:p>
        <w:p w14:paraId="0E670E15" w14:textId="77777777" w:rsidR="007B5B3F" w:rsidRPr="00AB77D2" w:rsidRDefault="008E6C9C" w:rsidP="00422980">
          <w:pPr>
            <w:pStyle w:val="Footer"/>
            <w:rPr>
              <w:sz w:val="12"/>
            </w:rPr>
          </w:pPr>
          <w:r>
            <w:rPr>
              <w:sz w:val="12"/>
            </w:rPr>
            <w:t>[W00.11.HOUSESTYLEBLANK.DOCX]</w:t>
          </w:r>
        </w:p>
      </w:tc>
      <w:tc>
        <w:tcPr>
          <w:tcW w:w="1000" w:type="pct"/>
          <w:shd w:val="clear" w:color="auto" w:fill="auto"/>
        </w:tcPr>
        <w:p w14:paraId="229400CA" w14:textId="77777777" w:rsidR="007B5B3F" w:rsidRPr="00946121" w:rsidRDefault="007B5B3F" w:rsidP="00422980">
          <w:pPr>
            <w:pStyle w:val="WCPageNumber"/>
          </w:pPr>
        </w:p>
      </w:tc>
      <w:tc>
        <w:tcPr>
          <w:tcW w:w="2000" w:type="pct"/>
          <w:shd w:val="clear" w:color="auto" w:fill="auto"/>
        </w:tcPr>
        <w:p w14:paraId="22EF11F6" w14:textId="77777777" w:rsidR="007B5B3F" w:rsidRPr="00422980" w:rsidRDefault="007B5B3F" w:rsidP="00422980">
          <w:pPr>
            <w:pStyle w:val="Footer"/>
            <w:jc w:val="right"/>
          </w:pPr>
        </w:p>
      </w:tc>
    </w:tr>
  </w:tbl>
  <w:p w14:paraId="7778EEFA" w14:textId="77777777" w:rsidR="007B5B3F" w:rsidRPr="00422980" w:rsidRDefault="007B5B3F" w:rsidP="00422980">
    <w:pPr>
      <w:pStyle w:val="Foote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7D2FF" w14:textId="77777777" w:rsidR="007B5B3F" w:rsidRDefault="007B5B3F" w:rsidP="00422980">
    <w:pPr>
      <w:pStyle w:val="Footer"/>
    </w:pPr>
  </w:p>
  <w:p w14:paraId="23C54D99" w14:textId="77777777" w:rsidR="007B5B3F" w:rsidRPr="00422980" w:rsidRDefault="007B5B3F" w:rsidP="00422980">
    <w:pPr>
      <w:pStyle w:val="Footer"/>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918C" w14:textId="77777777" w:rsidR="007B5B3F" w:rsidRDefault="007B5B3F" w:rsidP="00422980">
    <w:pPr>
      <w:pStyle w:val="Footer"/>
    </w:pPr>
  </w:p>
  <w:p w14:paraId="57E6D6CF" w14:textId="77777777" w:rsidR="007B5B3F" w:rsidRPr="00422980" w:rsidRDefault="007B5B3F" w:rsidP="00422980">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59FD7" w14:textId="77777777" w:rsidR="002B5D05" w:rsidRPr="00821FA1" w:rsidRDefault="002B5D05">
      <w:r w:rsidRPr="00821FA1">
        <w:separator/>
      </w:r>
    </w:p>
  </w:footnote>
  <w:footnote w:type="continuationSeparator" w:id="0">
    <w:p w14:paraId="2C88F449" w14:textId="77777777" w:rsidR="002B5D05" w:rsidRPr="00821FA1" w:rsidRDefault="002B5D05">
      <w:r w:rsidRPr="00821FA1">
        <w:continuationSeparator/>
      </w:r>
    </w:p>
  </w:footnote>
  <w:footnote w:id="1">
    <w:p w14:paraId="16260829" w14:textId="77777777" w:rsidR="00CC1ED3" w:rsidRPr="00EA1504" w:rsidRDefault="00CC1ED3" w:rsidP="00CC1ED3">
      <w:pPr>
        <w:pStyle w:val="FootnoteText"/>
        <w:rPr>
          <w:lang w:val="sv-SE"/>
        </w:rPr>
      </w:pPr>
      <w:r>
        <w:rPr>
          <w:rStyle w:val="FootnoteReference"/>
        </w:rPr>
        <w:footnoteRef/>
      </w:r>
      <w:r w:rsidRPr="00542C02">
        <w:rPr>
          <w:lang w:val="sv-SE"/>
        </w:rPr>
        <w:t xml:space="preserve"> </w:t>
      </w:r>
      <w:r w:rsidRPr="00EA1504">
        <w:rPr>
          <w:lang w:val="sv-SE"/>
        </w:rPr>
        <w:t xml:space="preserve">Odysseus Holdings Limited är ett nybildat privat aktiebolag på Jersey som ägs till 100 </w:t>
      </w:r>
      <w:r>
        <w:rPr>
          <w:lang w:val="sv-SE"/>
        </w:rPr>
        <w:t>procent</w:t>
      </w:r>
      <w:r w:rsidRPr="00EA1504">
        <w:rPr>
          <w:lang w:val="sv-SE"/>
        </w:rPr>
        <w:t xml:space="preserve"> av Jeri-Lea Brown,</w:t>
      </w:r>
    </w:p>
    <w:p w14:paraId="4C13C11F" w14:textId="77777777" w:rsidR="00CC1ED3" w:rsidRPr="00542C02" w:rsidRDefault="00CC1ED3" w:rsidP="00CC1ED3">
      <w:pPr>
        <w:pStyle w:val="FootnoteText"/>
        <w:rPr>
          <w:lang w:val="sv-SE"/>
        </w:rPr>
      </w:pPr>
      <w:r w:rsidRPr="00EA1504">
        <w:rPr>
          <w:lang w:val="sv-SE"/>
        </w:rPr>
        <w:t>med organisationsnummer 161481 och säte på 2 Hill Street, St. Helier, JE2 4UA</w:t>
      </w:r>
      <w:r>
        <w:rPr>
          <w:lang w:val="sv-SE"/>
        </w:rPr>
        <w:t xml:space="preserve">. </w:t>
      </w:r>
    </w:p>
  </w:footnote>
  <w:footnote w:id="2">
    <w:p w14:paraId="7B461F35" w14:textId="77777777" w:rsidR="00CC1ED3" w:rsidRPr="00F85FE9" w:rsidRDefault="00CC1ED3" w:rsidP="00CC1ED3">
      <w:pPr>
        <w:pStyle w:val="FootnoteText"/>
        <w:rPr>
          <w:lang w:val="sv-SE"/>
        </w:rPr>
      </w:pPr>
      <w:r>
        <w:rPr>
          <w:rStyle w:val="FootnoteReference"/>
        </w:rPr>
        <w:footnoteRef/>
      </w:r>
      <w:r w:rsidRPr="00F85FE9">
        <w:rPr>
          <w:lang w:val="sv-SE"/>
        </w:rPr>
        <w:t xml:space="preserve"> Baserat på </w:t>
      </w:r>
      <w:r w:rsidRPr="002F33B2">
        <w:rPr>
          <w:lang w:val="sv-SE"/>
        </w:rPr>
        <w:t>66</w:t>
      </w:r>
      <w:r>
        <w:rPr>
          <w:lang w:val="sv-SE"/>
        </w:rPr>
        <w:t> </w:t>
      </w:r>
      <w:r w:rsidRPr="002F33B2">
        <w:rPr>
          <w:lang w:val="sv-SE"/>
        </w:rPr>
        <w:t>678</w:t>
      </w:r>
      <w:r>
        <w:rPr>
          <w:lang w:val="sv-SE"/>
        </w:rPr>
        <w:t xml:space="preserve"> </w:t>
      </w:r>
      <w:r w:rsidRPr="002F33B2">
        <w:rPr>
          <w:lang w:val="sv-SE"/>
        </w:rPr>
        <w:t xml:space="preserve">210 </w:t>
      </w:r>
      <w:r w:rsidRPr="00F85FE9">
        <w:rPr>
          <w:lang w:val="sv-SE"/>
        </w:rPr>
        <w:t xml:space="preserve">i CoinShares, exklusive 1 171 037 aktier som innehas av CoinShares </w:t>
      </w:r>
      <w:r w:rsidRPr="002F33B2">
        <w:rPr>
          <w:lang w:val="sv-SE"/>
        </w:rPr>
        <w:t>inklusive 734 338 aktier i CoinShares som, per den 8 september 2025, skulle emitteras om de utestående CoinShares-optionerna (såsom definierat nedan), oavsett om de är intjänade eller ej, skulle nettoavräknas genom att aktier hålls inne vid utnyttjande, och en växelkurs om 9,45324 SEK/USD per den 5 september 2025.</w:t>
      </w:r>
    </w:p>
  </w:footnote>
  <w:footnote w:id="3">
    <w:p w14:paraId="4C282BB0" w14:textId="77777777" w:rsidR="00CC1ED3" w:rsidRPr="008470D3" w:rsidRDefault="00CC1ED3" w:rsidP="00CC1ED3">
      <w:pPr>
        <w:pStyle w:val="FootnoteText"/>
        <w:rPr>
          <w:lang w:val="sv-SE"/>
        </w:rPr>
      </w:pPr>
      <w:r>
        <w:rPr>
          <w:rStyle w:val="FootnoteReference"/>
        </w:rPr>
        <w:footnoteRef/>
      </w:r>
      <w:r w:rsidRPr="00F85FE9">
        <w:rPr>
          <w:lang w:val="sv-SE"/>
        </w:rPr>
        <w:t xml:space="preserve"> Baserat på </w:t>
      </w:r>
      <w:r w:rsidRPr="002F33B2">
        <w:rPr>
          <w:lang w:val="sv-SE"/>
        </w:rPr>
        <w:t>66</w:t>
      </w:r>
      <w:r>
        <w:rPr>
          <w:lang w:val="sv-SE"/>
        </w:rPr>
        <w:t> </w:t>
      </w:r>
      <w:r w:rsidRPr="002F33B2">
        <w:rPr>
          <w:lang w:val="sv-SE"/>
        </w:rPr>
        <w:t>678</w:t>
      </w:r>
      <w:r>
        <w:rPr>
          <w:lang w:val="sv-SE"/>
        </w:rPr>
        <w:t xml:space="preserve"> </w:t>
      </w:r>
      <w:r w:rsidRPr="002F33B2">
        <w:rPr>
          <w:lang w:val="sv-SE"/>
        </w:rPr>
        <w:t xml:space="preserve">210 </w:t>
      </w:r>
      <w:r w:rsidRPr="00F85FE9">
        <w:rPr>
          <w:lang w:val="sv-SE"/>
        </w:rPr>
        <w:t xml:space="preserve">i CoinShares, exklusive 1 171 037 aktier som innehas av CoinShares </w:t>
      </w:r>
      <w:r w:rsidRPr="002F33B2">
        <w:rPr>
          <w:lang w:val="sv-SE"/>
        </w:rPr>
        <w:t>inklusive 734 338 aktier i CoinShares som, per den 8 september 2025, skulle emitteras om de utestående CoinShares-optionerna (såsom definierat nedan), oavsett om de är intjänade eller ej, skulle nettoavräknas genom att aktier hålls inne vid utnyttjande, och en växelkurs om 9,45324 SEK/USD per den 5 september 2025</w:t>
      </w:r>
      <w:r w:rsidRPr="009779A5">
        <w:rPr>
          <w:lang w:val="sv-SE"/>
        </w:rPr>
        <w:t>.</w:t>
      </w:r>
    </w:p>
  </w:footnote>
  <w:footnote w:id="4">
    <w:p w14:paraId="7834F509" w14:textId="77777777" w:rsidR="002231DC" w:rsidRPr="00B31347" w:rsidRDefault="002231DC" w:rsidP="002231DC">
      <w:pPr>
        <w:pStyle w:val="FootnoteText"/>
        <w:rPr>
          <w:lang w:val="sv-SE"/>
        </w:rPr>
      </w:pPr>
      <w:r>
        <w:rPr>
          <w:rStyle w:val="FootnoteReference"/>
        </w:rPr>
        <w:footnoteRef/>
      </w:r>
      <w:r w:rsidRPr="00B31347">
        <w:rPr>
          <w:lang w:val="sv-SE"/>
        </w:rPr>
        <w:t xml:space="preserve"> </w:t>
      </w:r>
      <w:r w:rsidRPr="00FF662D">
        <w:rPr>
          <w:lang w:val="sv-SE"/>
        </w:rPr>
        <w:t xml:space="preserve">Motsvarande cirka 94,5 </w:t>
      </w:r>
      <w:r>
        <w:rPr>
          <w:lang w:val="sv-SE"/>
        </w:rPr>
        <w:t>SEK</w:t>
      </w:r>
      <w:r w:rsidRPr="00FF662D">
        <w:rPr>
          <w:lang w:val="sv-SE"/>
        </w:rPr>
        <w:t>, baserat på en växelkurs om 9,45324 USD/SEK per den 5 september 2025.</w:t>
      </w:r>
    </w:p>
  </w:footnote>
  <w:footnote w:id="5">
    <w:p w14:paraId="22A94B30" w14:textId="77777777" w:rsidR="002231DC" w:rsidRPr="00FF662D" w:rsidRDefault="002231DC" w:rsidP="002231DC">
      <w:pPr>
        <w:pStyle w:val="FootnoteText"/>
        <w:rPr>
          <w:lang w:val="sv-SE"/>
        </w:rPr>
      </w:pPr>
      <w:r>
        <w:rPr>
          <w:rStyle w:val="FootnoteReference"/>
        </w:rPr>
        <w:footnoteRef/>
      </w:r>
      <w:r w:rsidRPr="00FF662D">
        <w:rPr>
          <w:lang w:val="sv-SE"/>
        </w:rPr>
        <w:t xml:space="preserve"> Motsvarande cirka 11,3 miljarder </w:t>
      </w:r>
      <w:r>
        <w:rPr>
          <w:lang w:val="sv-SE"/>
        </w:rPr>
        <w:t>SEK</w:t>
      </w:r>
      <w:r w:rsidRPr="00FF662D">
        <w:rPr>
          <w:lang w:val="sv-SE"/>
        </w:rPr>
        <w:t xml:space="preserve">, baserat på en växelkurs </w:t>
      </w:r>
      <w:r>
        <w:rPr>
          <w:lang w:val="sv-SE"/>
        </w:rPr>
        <w:t>om</w:t>
      </w:r>
      <w:r w:rsidRPr="00FF662D">
        <w:rPr>
          <w:lang w:val="sv-SE"/>
        </w:rPr>
        <w:t xml:space="preserve"> 9,45324 USD/</w:t>
      </w:r>
      <w:r w:rsidRPr="003F3F3D">
        <w:rPr>
          <w:lang w:val="sv-SE"/>
        </w:rPr>
        <w:t xml:space="preserve"> </w:t>
      </w:r>
      <w:r>
        <w:rPr>
          <w:lang w:val="sv-SE"/>
        </w:rPr>
        <w:t>SEK</w:t>
      </w:r>
      <w:r w:rsidRPr="007924E3">
        <w:rPr>
          <w:lang w:val="sv-SE"/>
        </w:rPr>
        <w:t xml:space="preserve"> </w:t>
      </w:r>
      <w:r w:rsidRPr="00FF662D">
        <w:rPr>
          <w:lang w:val="sv-SE"/>
        </w:rPr>
        <w:t>per den 5 september 2025.</w:t>
      </w:r>
    </w:p>
  </w:footnote>
  <w:footnote w:id="6">
    <w:p w14:paraId="53B64016" w14:textId="6ADF0B8A" w:rsidR="002231DC" w:rsidRPr="003E0F03" w:rsidRDefault="002231DC" w:rsidP="002231DC">
      <w:pPr>
        <w:pStyle w:val="FootnoteText"/>
        <w:rPr>
          <w:lang w:val="sv-SE"/>
        </w:rPr>
      </w:pPr>
      <w:r>
        <w:rPr>
          <w:rStyle w:val="FootnoteReference"/>
        </w:rPr>
        <w:footnoteRef/>
      </w:r>
      <w:r w:rsidRPr="003E0F03">
        <w:rPr>
          <w:lang w:val="sv-SE"/>
        </w:rPr>
        <w:t xml:space="preserve"> </w:t>
      </w:r>
      <w:r w:rsidRPr="00912F6C">
        <w:rPr>
          <w:lang w:val="sv-SE"/>
        </w:rPr>
        <w:t xml:space="preserve">Baserat på </w:t>
      </w:r>
      <w:r w:rsidRPr="00265EEC">
        <w:rPr>
          <w:lang w:val="sv-SE"/>
        </w:rPr>
        <w:t>65</w:t>
      </w:r>
      <w:r>
        <w:rPr>
          <w:lang w:val="sv-SE"/>
        </w:rPr>
        <w:t xml:space="preserve"> </w:t>
      </w:r>
      <w:r w:rsidRPr="00265EEC">
        <w:rPr>
          <w:lang w:val="sv-SE"/>
        </w:rPr>
        <w:t>507</w:t>
      </w:r>
      <w:r>
        <w:rPr>
          <w:lang w:val="sv-SE"/>
        </w:rPr>
        <w:t xml:space="preserve"> </w:t>
      </w:r>
      <w:r w:rsidRPr="00265EEC">
        <w:rPr>
          <w:lang w:val="sv-SE"/>
        </w:rPr>
        <w:t>173</w:t>
      </w:r>
      <w:r>
        <w:rPr>
          <w:lang w:val="sv-SE"/>
        </w:rPr>
        <w:t xml:space="preserve"> </w:t>
      </w:r>
      <w:r w:rsidRPr="00912F6C">
        <w:rPr>
          <w:lang w:val="sv-SE"/>
        </w:rPr>
        <w:t xml:space="preserve">aktier i CoinShares, exklusive 1 171 037 aktier som innehas av CoinShares i varje fall per den 8 september 2025, och inklusive 734 338 aktier i CoinShares som per den 8 september 2025 skulle emitteras om de utestående CoinShares-optionerna, oavsett om de är intjänade eller ej, skulle </w:t>
      </w:r>
      <w:r>
        <w:rPr>
          <w:lang w:val="sv-SE"/>
        </w:rPr>
        <w:t>nettoregleras</w:t>
      </w:r>
      <w:r w:rsidRPr="008640CB">
        <w:rPr>
          <w:lang w:val="sv-SE"/>
        </w:rPr>
        <w:t xml:space="preserve"> </w:t>
      </w:r>
      <w:r w:rsidRPr="00912F6C">
        <w:rPr>
          <w:lang w:val="sv-SE"/>
        </w:rPr>
        <w:t xml:space="preserve">genom att aktier hålls inne vid utnyttjande, vilket skulle resultera i </w:t>
      </w:r>
      <w:r>
        <w:rPr>
          <w:lang w:val="sv-SE"/>
        </w:rPr>
        <w:t>ett</w:t>
      </w:r>
      <w:r w:rsidRPr="00912F6C">
        <w:rPr>
          <w:lang w:val="sv-SE"/>
        </w:rPr>
        <w:t xml:space="preserve"> </w:t>
      </w:r>
      <w:r w:rsidRPr="00DE7B22">
        <w:rPr>
          <w:lang w:val="sv-SE"/>
        </w:rPr>
        <w:t xml:space="preserve">Utbytesförhållande </w:t>
      </w:r>
      <w:r w:rsidRPr="00912F6C">
        <w:rPr>
          <w:lang w:val="sv-SE"/>
        </w:rPr>
        <w:t>om 1,8</w:t>
      </w:r>
      <w:r w:rsidR="00FC601F">
        <w:rPr>
          <w:lang w:val="sv-SE"/>
        </w:rPr>
        <w:t>319</w:t>
      </w:r>
      <w:r w:rsidRPr="003E0F03">
        <w:rPr>
          <w:lang w:val="sv-SE"/>
        </w:rPr>
        <w:t>.</w:t>
      </w:r>
    </w:p>
  </w:footnote>
  <w:footnote w:id="7">
    <w:p w14:paraId="11C5690E" w14:textId="77777777" w:rsidR="002231DC" w:rsidRPr="009C2824" w:rsidRDefault="002231DC" w:rsidP="002231DC">
      <w:pPr>
        <w:pStyle w:val="FootnoteText"/>
        <w:rPr>
          <w:lang w:val="sv-SE"/>
        </w:rPr>
      </w:pPr>
      <w:r>
        <w:rPr>
          <w:rStyle w:val="FootnoteReference"/>
        </w:rPr>
        <w:footnoteRef/>
      </w:r>
      <w:r w:rsidRPr="009C2824">
        <w:rPr>
          <w:lang w:val="sv-SE"/>
        </w:rPr>
        <w:t xml:space="preserve"> </w:t>
      </w:r>
      <w:r w:rsidRPr="009D011C">
        <w:rPr>
          <w:lang w:val="sv-SE"/>
        </w:rPr>
        <w:t>Baserat på 65 507 173 aktier i CoinShares, exklusive 1 171 037 aktier som innehas av CoinShares, i båda fallen per den 8 september 2025, och 734 338 aktier i CoinShares som per den 8 september 2025 skulle emitteras om de utestående CoinShares-optionerna, oavsett om de är intjänade eller ej, skulle nettoregleras genom att aktier hålls inne vid utnyttjande.</w:t>
      </w:r>
    </w:p>
  </w:footnote>
  <w:footnote w:id="8">
    <w:p w14:paraId="5D5C087D" w14:textId="77777777" w:rsidR="002231DC" w:rsidRPr="0082420A" w:rsidRDefault="002231DC" w:rsidP="002231DC">
      <w:pPr>
        <w:pStyle w:val="FootnoteText"/>
        <w:rPr>
          <w:lang w:val="sv-SE"/>
        </w:rPr>
      </w:pPr>
      <w:r>
        <w:rPr>
          <w:rStyle w:val="FootnoteReference"/>
        </w:rPr>
        <w:footnoteRef/>
      </w:r>
      <w:r w:rsidRPr="0082420A">
        <w:rPr>
          <w:lang w:val="sv-SE"/>
        </w:rPr>
        <w:t xml:space="preserve"> Förutsatt att alla 1 927 883 utestående CoinShares-optioner utnyttjades för kontanter före Transaktionens </w:t>
      </w:r>
      <w:r>
        <w:rPr>
          <w:lang w:val="sv-SE"/>
        </w:rPr>
        <w:t xml:space="preserve">fullgörandet </w:t>
      </w:r>
      <w:r w:rsidRPr="0082420A">
        <w:rPr>
          <w:lang w:val="sv-SE"/>
        </w:rPr>
        <w:t xml:space="preserve">och att CoinShares emitterade ytterligare optioner till ett värde om 500 000 USD (det högsta tillåtna beloppet enligt BCA) till ett transaktionspris om 10,00 USD före Transaktionens </w:t>
      </w:r>
      <w:r>
        <w:rPr>
          <w:lang w:val="sv-SE"/>
        </w:rPr>
        <w:t>fullgörande</w:t>
      </w:r>
      <w:r w:rsidRPr="0082420A">
        <w:rPr>
          <w:lang w:val="sv-SE"/>
        </w:rPr>
        <w:t>, skulle det finnas 67 485 056 aktier i CoinShares (exklusive de aktier som ska emitteras i den Riktade Nyemissionen, vilka inte påverkar beräkningarna), vilket skulle resultera i e</w:t>
      </w:r>
      <w:r>
        <w:rPr>
          <w:lang w:val="sv-SE"/>
        </w:rPr>
        <w:t>tt</w:t>
      </w:r>
      <w:r w:rsidRPr="0082420A">
        <w:rPr>
          <w:lang w:val="sv-SE"/>
        </w:rPr>
        <w:t xml:space="preserve"> </w:t>
      </w:r>
      <w:r w:rsidRPr="00DE7B22">
        <w:rPr>
          <w:lang w:val="sv-SE"/>
        </w:rPr>
        <w:t xml:space="preserve">Utbytesförhållande </w:t>
      </w:r>
      <w:r>
        <w:rPr>
          <w:lang w:val="sv-SE"/>
        </w:rPr>
        <w:t>om</w:t>
      </w:r>
      <w:r w:rsidRPr="0082420A">
        <w:rPr>
          <w:lang w:val="sv-SE"/>
        </w:rPr>
        <w:t xml:space="preserve"> cirka 1,7782 motsvarande 168,1 SEK.</w:t>
      </w:r>
    </w:p>
  </w:footnote>
  <w:footnote w:id="9">
    <w:p w14:paraId="2EBE8B69" w14:textId="77777777" w:rsidR="002231DC" w:rsidRPr="00E850ED" w:rsidRDefault="002231DC" w:rsidP="002231DC">
      <w:pPr>
        <w:pStyle w:val="FootnoteText"/>
        <w:rPr>
          <w:lang w:val="sv-SE"/>
        </w:rPr>
      </w:pPr>
      <w:r>
        <w:rPr>
          <w:rStyle w:val="FootnoteReference"/>
        </w:rPr>
        <w:footnoteRef/>
      </w:r>
      <w:r w:rsidRPr="00E850ED">
        <w:rPr>
          <w:lang w:val="sv-SE"/>
        </w:rPr>
        <w:t xml:space="preserve"> </w:t>
      </w:r>
      <w:r>
        <w:rPr>
          <w:lang w:val="sv-SE"/>
        </w:rPr>
        <w:t>Förutsatt att alla</w:t>
      </w:r>
      <w:r w:rsidRPr="00A5200F">
        <w:rPr>
          <w:lang w:val="sv-SE"/>
        </w:rPr>
        <w:t xml:space="preserve"> 1 927 883 CoinShares-optioner </w:t>
      </w:r>
      <w:r>
        <w:rPr>
          <w:lang w:val="sv-SE"/>
        </w:rPr>
        <w:t>annullerades</w:t>
      </w:r>
      <w:r w:rsidRPr="00A5200F">
        <w:rPr>
          <w:lang w:val="sv-SE"/>
        </w:rPr>
        <w:t xml:space="preserve"> före Transaktionens </w:t>
      </w:r>
      <w:r>
        <w:rPr>
          <w:lang w:val="sv-SE"/>
        </w:rPr>
        <w:t>fullgörande</w:t>
      </w:r>
      <w:r w:rsidRPr="00A5200F">
        <w:rPr>
          <w:lang w:val="sv-SE"/>
        </w:rPr>
        <w:t xml:space="preserve">, och CoinShares inte emitterar några ytterligare optioner före Transaktionens </w:t>
      </w:r>
      <w:r>
        <w:rPr>
          <w:lang w:val="sv-SE"/>
        </w:rPr>
        <w:t>fullgörande</w:t>
      </w:r>
      <w:r w:rsidRPr="00A5200F">
        <w:rPr>
          <w:lang w:val="sv-SE"/>
        </w:rPr>
        <w:t xml:space="preserve">, skulle det finnas 65 507 173 aktier i CoinShares (exklusive de aktier som ska emitteras i den Riktade Emissionen, vilka inte påverkar beräkningarna), vilket skulle resultera i ett </w:t>
      </w:r>
      <w:r w:rsidRPr="00DE7B22">
        <w:rPr>
          <w:lang w:val="sv-SE"/>
        </w:rPr>
        <w:t xml:space="preserve">Utbytesförhållande </w:t>
      </w:r>
      <w:r w:rsidRPr="00A5200F">
        <w:rPr>
          <w:lang w:val="sv-SE"/>
        </w:rPr>
        <w:t>om cirka 1,8319 motsvarande 173,2 SEK</w:t>
      </w:r>
      <w:r w:rsidRPr="00E850ED">
        <w:rPr>
          <w:lang w:val="sv-SE"/>
        </w:rPr>
        <w:t>.</w:t>
      </w:r>
    </w:p>
  </w:footnote>
  <w:footnote w:id="10">
    <w:p w14:paraId="35325D31" w14:textId="77777777" w:rsidR="002231DC" w:rsidRPr="009158A6" w:rsidRDefault="002231DC" w:rsidP="002231DC">
      <w:pPr>
        <w:pStyle w:val="FootnoteText"/>
        <w:rPr>
          <w:lang w:val="sv-SE"/>
        </w:rPr>
      </w:pPr>
      <w:r>
        <w:rPr>
          <w:rStyle w:val="FootnoteReference"/>
        </w:rPr>
        <w:footnoteRef/>
      </w:r>
      <w:r w:rsidRPr="009158A6">
        <w:rPr>
          <w:lang w:val="sv-SE"/>
        </w:rPr>
        <w:t xml:space="preserve"> </w:t>
      </w:r>
      <w:r w:rsidRPr="000C254F">
        <w:rPr>
          <w:lang w:val="sv-SE"/>
        </w:rPr>
        <w:t xml:space="preserve">Baserat på 65 507 173 aktier i CoinShares, exklusive 1 171 037 aktier som innehas av CoinShares i varje fall per den 8 september 2025, och inklusive 734 338 aktier i CoinShares som per den 8 september 2025 skulle emitteras om de utestående CoinShares-optionerna (såsom definierat ovan), oavsett om de är intjänade eller ej, skulle </w:t>
      </w:r>
      <w:r>
        <w:rPr>
          <w:lang w:val="sv-SE"/>
        </w:rPr>
        <w:t>nettoregleras</w:t>
      </w:r>
      <w:r w:rsidRPr="008640CB">
        <w:rPr>
          <w:lang w:val="sv-SE"/>
        </w:rPr>
        <w:t xml:space="preserve"> </w:t>
      </w:r>
      <w:r w:rsidRPr="000C254F">
        <w:rPr>
          <w:lang w:val="sv-SE"/>
        </w:rPr>
        <w:t xml:space="preserve">genom att aktier hålls inne vid utnyttjande. Antalet aktier i CoinShares beräknat enligt BCA omedelbart före Transaktionens </w:t>
      </w:r>
      <w:r>
        <w:rPr>
          <w:lang w:val="sv-SE"/>
        </w:rPr>
        <w:t>fullgörande</w:t>
      </w:r>
      <w:r w:rsidRPr="000C254F">
        <w:rPr>
          <w:lang w:val="sv-SE"/>
        </w:rPr>
        <w:t>, exklusive de aktier som ska emitteras i den Riktade Nyemissionen, kan skilja sig.</w:t>
      </w:r>
    </w:p>
  </w:footnote>
  <w:footnote w:id="11">
    <w:p w14:paraId="4070E0B7" w14:textId="77777777" w:rsidR="001428AE" w:rsidRPr="00814B29" w:rsidRDefault="001428AE" w:rsidP="001428AE">
      <w:pPr>
        <w:pStyle w:val="FootnoteText"/>
        <w:rPr>
          <w:lang w:val="sv-SE"/>
        </w:rPr>
      </w:pPr>
      <w:r>
        <w:rPr>
          <w:rStyle w:val="FootnoteReference"/>
        </w:rPr>
        <w:footnoteRef/>
      </w:r>
      <w:r w:rsidRPr="00814B29">
        <w:rPr>
          <w:lang w:val="sv-SE"/>
        </w:rPr>
        <w:t xml:space="preserve"> </w:t>
      </w:r>
      <w:r w:rsidRPr="00F85FE9">
        <w:rPr>
          <w:lang w:val="sv-SE"/>
        </w:rPr>
        <w:t>Exklusive idag, den 8 september 2025.</w:t>
      </w:r>
    </w:p>
  </w:footnote>
  <w:footnote w:id="12">
    <w:p w14:paraId="45699BFB" w14:textId="77777777" w:rsidR="001428AE" w:rsidRPr="00814B29" w:rsidRDefault="001428AE" w:rsidP="001428AE">
      <w:pPr>
        <w:pStyle w:val="FootnoteText"/>
        <w:rPr>
          <w:lang w:val="sv-SE"/>
        </w:rPr>
      </w:pPr>
      <w:r>
        <w:rPr>
          <w:rStyle w:val="FootnoteReference"/>
        </w:rPr>
        <w:footnoteRef/>
      </w:r>
      <w:r w:rsidRPr="00814B29">
        <w:rPr>
          <w:lang w:val="sv-SE"/>
        </w:rPr>
        <w:t xml:space="preserve"> </w:t>
      </w:r>
      <w:r w:rsidRPr="00F85FE9">
        <w:rPr>
          <w:lang w:val="sv-SE"/>
        </w:rPr>
        <w:t>Exklusive idag, den 8 september 2025.</w:t>
      </w:r>
    </w:p>
  </w:footnote>
  <w:footnote w:id="13">
    <w:p w14:paraId="7F91BB4E" w14:textId="77777777" w:rsidR="001428AE" w:rsidRPr="00814B29" w:rsidRDefault="001428AE" w:rsidP="001428AE">
      <w:pPr>
        <w:pStyle w:val="FootnoteText"/>
        <w:rPr>
          <w:lang w:val="sv-SE"/>
        </w:rPr>
      </w:pPr>
      <w:r>
        <w:rPr>
          <w:rStyle w:val="FootnoteReference"/>
        </w:rPr>
        <w:footnoteRef/>
      </w:r>
      <w:r w:rsidRPr="00814B29">
        <w:rPr>
          <w:lang w:val="sv-SE"/>
        </w:rPr>
        <w:t xml:space="preserve"> </w:t>
      </w:r>
      <w:r w:rsidRPr="00F85FE9">
        <w:rPr>
          <w:lang w:val="sv-SE"/>
        </w:rPr>
        <w:t>Exklusive idag, den 8 september 2025.</w:t>
      </w:r>
    </w:p>
  </w:footnote>
  <w:footnote w:id="14">
    <w:p w14:paraId="58AEAA2F" w14:textId="1C7F3F7D" w:rsidR="001E1399" w:rsidRPr="00FF7C29" w:rsidRDefault="001E1399" w:rsidP="001E1399">
      <w:pPr>
        <w:pStyle w:val="FootnoteText"/>
        <w:rPr>
          <w:lang w:val="sv-SE"/>
        </w:rPr>
      </w:pPr>
      <w:r>
        <w:rPr>
          <w:rStyle w:val="FootnoteReference"/>
        </w:rPr>
        <w:footnoteRef/>
      </w:r>
      <w:r w:rsidRPr="00FF7C29">
        <w:rPr>
          <w:lang w:val="sv-SE"/>
        </w:rPr>
        <w:t xml:space="preserve"> </w:t>
      </w:r>
      <w:r w:rsidR="00984C9A" w:rsidRPr="008640CB">
        <w:rPr>
          <w:lang w:val="sv-SE"/>
        </w:rPr>
        <w:t xml:space="preserve">Baserat på 65 507 173 aktier i CoinShares, exklusive 1 171 037 aktier som innehas av CoinShares i varje fall per den 8 september 2025, och 734 338 aktier i CoinShares som per den 8 september 2025 skulle emitteras om de utestående CoinShares-optionerna (såsom definierat nedan), oavsett om de är intjänade eller ej, skulle </w:t>
      </w:r>
      <w:r w:rsidR="00984C9A">
        <w:rPr>
          <w:lang w:val="sv-SE"/>
        </w:rPr>
        <w:t>nettoreglerats</w:t>
      </w:r>
      <w:r w:rsidR="00984C9A" w:rsidRPr="008640CB">
        <w:rPr>
          <w:lang w:val="sv-SE"/>
        </w:rPr>
        <w:t xml:space="preserve"> genom att aktier hålls inne vid utnyttjande</w:t>
      </w:r>
      <w:r w:rsidRPr="001E1399">
        <w:rPr>
          <w:lang w:val="sv-SE"/>
        </w:rPr>
        <w:t>.</w:t>
      </w:r>
      <w:r>
        <w:rPr>
          <w:lang w:val="sv-S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41FB0" w14:textId="4199EF6F" w:rsidR="00386B17" w:rsidRDefault="00386B17">
    <w:pPr>
      <w:pStyle w:val="Header"/>
    </w:pPr>
  </w:p>
  <w:p w14:paraId="222A1BA7" w14:textId="77777777" w:rsidR="00386B17" w:rsidRDefault="00386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4FABE" w14:textId="5F7D5BD9" w:rsidR="00386B17" w:rsidRPr="005F0F58" w:rsidRDefault="005F0F58" w:rsidP="00386B17">
    <w:pPr>
      <w:pStyle w:val="Header"/>
      <w:jc w:val="right"/>
      <w:rPr>
        <w:i/>
        <w:iCs/>
      </w:rPr>
    </w:pPr>
    <w:r w:rsidRPr="005F0F58">
      <w:rPr>
        <w:i/>
        <w:iCs/>
      </w:rPr>
      <w:t>Final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2D5"/>
    <w:multiLevelType w:val="multilevel"/>
    <w:tmpl w:val="0CA43E22"/>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E77DE6"/>
    <w:multiLevelType w:val="hybridMultilevel"/>
    <w:tmpl w:val="0608C5BE"/>
    <w:lvl w:ilvl="0" w:tplc="A6DE0D9C">
      <w:start w:val="1"/>
      <w:numFmt w:val="bullet"/>
      <w:pStyle w:val="w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A637F"/>
    <w:multiLevelType w:val="multilevel"/>
    <w:tmpl w:val="6A187AD0"/>
    <w:lvl w:ilvl="0">
      <w:start w:val="1"/>
      <w:numFmt w:val="decimal"/>
      <w:lvlText w:val="Schedule %1"/>
      <w:lvlJc w:val="left"/>
      <w:pPr>
        <w:ind w:left="0" w:firstLine="0"/>
      </w:pPr>
      <w:rPr>
        <w:rFonts w:ascii="Times New Roman" w:hAnsi="Times New Roman" w:cs="Times New Roman" w:hint="default"/>
        <w:b/>
        <w:i w:val="0"/>
        <w:color w:val="000000" w:themeColor="text1"/>
        <w:sz w:val="26"/>
      </w:rPr>
    </w:lvl>
    <w:lvl w:ilvl="1">
      <w:start w:val="1"/>
      <w:numFmt w:val="decimal"/>
      <w:lvlText w:val="Part %2"/>
      <w:lvlJc w:val="left"/>
      <w:pPr>
        <w:ind w:left="0" w:firstLine="0"/>
      </w:pPr>
      <w:rPr>
        <w:rFonts w:ascii="Times New Roman" w:hAnsi="Times New Roman" w:cs="Times New Roman" w:hint="default"/>
        <w:b/>
        <w:i w:val="0"/>
        <w:color w:val="000000" w:themeColor="text1"/>
        <w:sz w:val="22"/>
      </w:rPr>
    </w:lvl>
    <w:lvl w:ilvl="2">
      <w:start w:val="1"/>
      <w:numFmt w:val="decimal"/>
      <w:lvlText w:val="%3."/>
      <w:lvlJc w:val="left"/>
      <w:pPr>
        <w:tabs>
          <w:tab w:val="num" w:pos="720"/>
        </w:tabs>
        <w:ind w:left="720" w:hanging="720"/>
      </w:pPr>
      <w:rPr>
        <w:rFonts w:ascii="Times New Roman" w:hAnsi="Times New Roman" w:hint="default"/>
        <w:color w:val="000000" w:themeColor="text1"/>
      </w:rPr>
    </w:lvl>
    <w:lvl w:ilvl="3">
      <w:start w:val="1"/>
      <w:numFmt w:val="decimal"/>
      <w:lvlText w:val="%3.%4"/>
      <w:lvlJc w:val="left"/>
      <w:pPr>
        <w:tabs>
          <w:tab w:val="num" w:pos="720"/>
        </w:tabs>
        <w:ind w:left="720" w:hanging="720"/>
      </w:pPr>
      <w:rPr>
        <w:rFonts w:ascii="Times New Roman" w:hAnsi="Times New Roman" w:hint="default"/>
        <w:color w:val="000000" w:themeColor="text1"/>
      </w:rPr>
    </w:lvl>
    <w:lvl w:ilvl="4">
      <w:start w:val="1"/>
      <w:numFmt w:val="lowerLetter"/>
      <w:lvlText w:val="(%5)"/>
      <w:lvlJc w:val="left"/>
      <w:pPr>
        <w:tabs>
          <w:tab w:val="num" w:pos="1440"/>
        </w:tabs>
        <w:ind w:left="1440" w:hanging="720"/>
      </w:pPr>
      <w:rPr>
        <w:rFonts w:hint="default"/>
        <w:color w:val="000000" w:themeColor="text1"/>
      </w:rPr>
    </w:lvl>
    <w:lvl w:ilvl="5">
      <w:start w:val="1"/>
      <w:numFmt w:val="lowerRoman"/>
      <w:lvlText w:val="(%6)"/>
      <w:lvlJc w:val="left"/>
      <w:pPr>
        <w:tabs>
          <w:tab w:val="num" w:pos="2160"/>
        </w:tabs>
        <w:ind w:left="2160" w:hanging="720"/>
      </w:pPr>
      <w:rPr>
        <w:rFonts w:hint="default"/>
        <w:color w:val="000000" w:themeColor="text1"/>
      </w:rPr>
    </w:lvl>
    <w:lvl w:ilvl="6">
      <w:start w:val="1"/>
      <w:numFmt w:val="upperLetter"/>
      <w:lvlText w:val="(%7)"/>
      <w:lvlJc w:val="left"/>
      <w:pPr>
        <w:tabs>
          <w:tab w:val="num" w:pos="2880"/>
        </w:tabs>
        <w:ind w:left="2880" w:hanging="720"/>
      </w:pPr>
      <w:rPr>
        <w:rFonts w:hint="default"/>
        <w:color w:val="000000" w:themeColor="text1"/>
      </w:rPr>
    </w:lvl>
    <w:lvl w:ilvl="7">
      <w:start w:val="1"/>
      <w:numFmt w:val="lowerLetter"/>
      <w:lvlText w:val="(%8)"/>
      <w:lvlJc w:val="left"/>
      <w:pPr>
        <w:tabs>
          <w:tab w:val="num" w:pos="720"/>
        </w:tabs>
        <w:ind w:left="720" w:hanging="720"/>
      </w:pPr>
      <w:rPr>
        <w:rFonts w:hint="default"/>
        <w:color w:val="000000" w:themeColor="text1"/>
      </w:rPr>
    </w:lvl>
    <w:lvl w:ilvl="8">
      <w:start w:val="1"/>
      <w:numFmt w:val="lowerRoman"/>
      <w:lvlText w:val="(%9)"/>
      <w:lvlJc w:val="left"/>
      <w:pPr>
        <w:tabs>
          <w:tab w:val="num" w:pos="1440"/>
        </w:tabs>
        <w:ind w:left="1440" w:hanging="720"/>
      </w:pPr>
      <w:rPr>
        <w:rFonts w:hint="default"/>
        <w:color w:val="000000" w:themeColor="text1"/>
      </w:rPr>
    </w:lvl>
  </w:abstractNum>
  <w:abstractNum w:abstractNumId="4" w15:restartNumberingAfterBreak="0">
    <w:nsid w:val="23617166"/>
    <w:multiLevelType w:val="multilevel"/>
    <w:tmpl w:val="0DE2F7A6"/>
    <w:lvl w:ilvl="0">
      <w:start w:val="1"/>
      <w:numFmt w:val="decimal"/>
      <w:pStyle w:val="Heading1"/>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Heading2"/>
      <w:isLgl/>
      <w:lvlText w:val="%1.%2"/>
      <w:lvlJc w:val="left"/>
      <w:pPr>
        <w:tabs>
          <w:tab w:val="num" w:pos="720"/>
        </w:tabs>
        <w:ind w:left="720" w:hanging="720"/>
      </w:pPr>
      <w:rPr>
        <w:rFonts w:ascii="Times New Roman" w:hAnsi="Times New Roman" w:cs="Times New Roman" w:hint="default"/>
        <w:b/>
        <w:i w:val="0"/>
        <w:color w:val="000000" w:themeColor="text1"/>
        <w:sz w:val="22"/>
      </w:rPr>
    </w:lvl>
    <w:lvl w:ilvl="2">
      <w:start w:val="1"/>
      <w:numFmt w:val="lowerLetter"/>
      <w:pStyle w:val="Heading3"/>
      <w:lvlText w:val="(%3)"/>
      <w:lvlJc w:val="left"/>
      <w:pPr>
        <w:tabs>
          <w:tab w:val="num" w:pos="1440"/>
        </w:tabs>
        <w:ind w:left="1440" w:hanging="720"/>
      </w:pPr>
      <w:rPr>
        <w:rFonts w:hint="default"/>
        <w:color w:val="000000" w:themeColor="text1"/>
      </w:rPr>
    </w:lvl>
    <w:lvl w:ilvl="3">
      <w:start w:val="1"/>
      <w:numFmt w:val="lowerRoman"/>
      <w:pStyle w:val="Heading4"/>
      <w:lvlText w:val="(%4)"/>
      <w:lvlJc w:val="left"/>
      <w:pPr>
        <w:tabs>
          <w:tab w:val="num" w:pos="2160"/>
        </w:tabs>
        <w:ind w:left="2160" w:hanging="720"/>
      </w:pPr>
      <w:rPr>
        <w:rFonts w:hint="default"/>
        <w:color w:val="000000" w:themeColor="text1"/>
      </w:rPr>
    </w:lvl>
    <w:lvl w:ilvl="4">
      <w:start w:val="1"/>
      <w:numFmt w:val="upperLetter"/>
      <w:pStyle w:val="Heading5"/>
      <w:lvlText w:val="(%5)"/>
      <w:lvlJc w:val="left"/>
      <w:pPr>
        <w:tabs>
          <w:tab w:val="num" w:pos="2880"/>
        </w:tabs>
        <w:ind w:left="2880" w:hanging="720"/>
      </w:pPr>
      <w:rPr>
        <w:rFonts w:hint="default"/>
        <w:color w:val="000000" w:themeColor="text1"/>
      </w:rPr>
    </w:lvl>
    <w:lvl w:ilvl="5">
      <w:start w:val="1"/>
      <w:numFmt w:val="decimal"/>
      <w:pStyle w:val="Heading6"/>
      <w:lvlText w:val="(%6)"/>
      <w:lvlJc w:val="left"/>
      <w:pPr>
        <w:tabs>
          <w:tab w:val="num" w:pos="3600"/>
        </w:tabs>
        <w:ind w:left="3600" w:hanging="720"/>
      </w:pPr>
      <w:rPr>
        <w:rFonts w:hint="default"/>
        <w:color w:val="000000" w:themeColor="text1"/>
      </w:rPr>
    </w:lvl>
    <w:lvl w:ilvl="6">
      <w:start w:val="1"/>
      <w:numFmt w:val="upperRoman"/>
      <w:pStyle w:val="Heading7"/>
      <w:lvlText w:val="(%7)"/>
      <w:lvlJc w:val="left"/>
      <w:pPr>
        <w:tabs>
          <w:tab w:val="num" w:pos="4320"/>
        </w:tabs>
        <w:ind w:left="4320" w:hanging="720"/>
      </w:pPr>
      <w:rPr>
        <w:rFonts w:hint="default"/>
        <w:color w:val="000000" w:themeColor="text1"/>
      </w:rPr>
    </w:lvl>
    <w:lvl w:ilvl="7">
      <w:start w:val="1"/>
      <w:numFmt w:val="none"/>
      <w:pStyle w:val="Heading8"/>
      <w:suff w:val="nothing"/>
      <w:lvlText w:val=""/>
      <w:lvlJc w:val="left"/>
      <w:pPr>
        <w:ind w:left="0" w:firstLine="0"/>
      </w:pPr>
      <w:rPr>
        <w:rFonts w:hint="default"/>
        <w:color w:val="000000" w:themeColor="text1"/>
      </w:rPr>
    </w:lvl>
    <w:lvl w:ilvl="8">
      <w:start w:val="1"/>
      <w:numFmt w:val="none"/>
      <w:pStyle w:val="Heading9"/>
      <w:suff w:val="nothing"/>
      <w:lvlText w:val=""/>
      <w:lvlJc w:val="left"/>
      <w:pPr>
        <w:ind w:left="0" w:firstLine="0"/>
      </w:pPr>
      <w:rPr>
        <w:rFonts w:hint="default"/>
        <w:color w:val="000000" w:themeColor="text1"/>
      </w:rPr>
    </w:lvl>
  </w:abstractNum>
  <w:abstractNum w:abstractNumId="5" w15:restartNumberingAfterBreak="0">
    <w:nsid w:val="262D4BEB"/>
    <w:multiLevelType w:val="multilevel"/>
    <w:tmpl w:val="92820D82"/>
    <w:name w:val="Definition"/>
    <w:lvl w:ilvl="0">
      <w:start w:val="1"/>
      <w:numFmt w:val="none"/>
      <w:suff w:val="nothing"/>
      <w:lvlText w:val=""/>
      <w:lvlJc w:val="left"/>
      <w:pPr>
        <w:ind w:left="720" w:firstLine="0"/>
      </w:pPr>
      <w:rPr>
        <w:rFonts w:ascii="Times New Roman" w:hAnsi="Times New Roman" w:cs="Times New Roman" w:hint="default"/>
        <w:b/>
        <w:i w:val="0"/>
        <w:color w:val="000000" w:themeColor="text1"/>
        <w:sz w:val="22"/>
      </w:rPr>
    </w:lvl>
    <w:lvl w:ilvl="1">
      <w:start w:val="1"/>
      <w:numFmt w:val="lowerLetter"/>
      <w:lvlText w:val="%1(%2)"/>
      <w:lvlJc w:val="left"/>
      <w:pPr>
        <w:tabs>
          <w:tab w:val="num" w:pos="1440"/>
        </w:tabs>
        <w:ind w:left="1440" w:hanging="720"/>
      </w:pPr>
      <w:rPr>
        <w:rFonts w:ascii="Times New Roman" w:eastAsia="MS Mincho" w:hAnsi="Times New Roman" w:cs="Times New Roman" w:hint="default"/>
        <w:b w:val="0"/>
        <w:i w:val="0"/>
        <w:color w:val="000000" w:themeColor="text1"/>
        <w:sz w:val="22"/>
      </w:rPr>
    </w:lvl>
    <w:lvl w:ilvl="2">
      <w:start w:val="1"/>
      <w:numFmt w:val="lowerRoman"/>
      <w:lvlText w:val="(%3)"/>
      <w:lvlJc w:val="left"/>
      <w:pPr>
        <w:tabs>
          <w:tab w:val="num" w:pos="2160"/>
        </w:tabs>
        <w:ind w:left="2160" w:hanging="720"/>
      </w:pPr>
      <w:rPr>
        <w:rFonts w:ascii="Times New Roman" w:hAnsi="Times New Roman" w:hint="default"/>
        <w:color w:val="000000" w:themeColor="text1"/>
      </w:rPr>
    </w:lvl>
    <w:lvl w:ilvl="3">
      <w:start w:val="1"/>
      <w:numFmt w:val="upperLetter"/>
      <w:lvlText w:val="(%4)"/>
      <w:lvlJc w:val="left"/>
      <w:pPr>
        <w:tabs>
          <w:tab w:val="num" w:pos="2880"/>
        </w:tabs>
        <w:ind w:left="2880" w:hanging="720"/>
      </w:pPr>
      <w:rPr>
        <w:rFonts w:ascii="Times New Roman" w:hAnsi="Times New Roman" w:cs="Times New Roman" w:hint="default"/>
        <w:b w:val="0"/>
        <w:i w:val="0"/>
        <w:color w:val="000000" w:themeColor="text1"/>
      </w:rPr>
    </w:lvl>
    <w:lvl w:ilvl="4">
      <w:start w:val="1"/>
      <w:numFmt w:val="decimal"/>
      <w:lvlText w:val="(%5)"/>
      <w:lvlJc w:val="left"/>
      <w:pPr>
        <w:tabs>
          <w:tab w:val="num" w:pos="3600"/>
        </w:tabs>
        <w:ind w:left="3600" w:hanging="720"/>
      </w:pPr>
      <w:rPr>
        <w:rFonts w:ascii="Times New Roman" w:hAnsi="Times New Roman" w:hint="default"/>
        <w:color w:val="000000" w:themeColor="text1"/>
      </w:rPr>
    </w:lvl>
    <w:lvl w:ilvl="5">
      <w:start w:val="1"/>
      <w:numFmt w:val="upperRoman"/>
      <w:lvlText w:val="(%6)"/>
      <w:lvlJc w:val="left"/>
      <w:pPr>
        <w:tabs>
          <w:tab w:val="num" w:pos="4320"/>
        </w:tabs>
        <w:ind w:left="4320" w:hanging="720"/>
      </w:pPr>
      <w:rPr>
        <w:rFonts w:hint="default"/>
        <w:color w:val="000000" w:themeColor="text1"/>
      </w:rPr>
    </w:lvl>
    <w:lvl w:ilvl="6">
      <w:start w:val="1"/>
      <w:numFmt w:val="decimal"/>
      <w:lvlRestart w:val="0"/>
      <w:lvlText w:val="(%7)"/>
      <w:lvlJc w:val="left"/>
      <w:pPr>
        <w:tabs>
          <w:tab w:val="num" w:pos="720"/>
        </w:tabs>
        <w:ind w:left="720" w:hanging="720"/>
      </w:pPr>
      <w:rPr>
        <w:rFonts w:hint="default"/>
        <w:b/>
        <w:i w:val="0"/>
        <w:color w:val="000000" w:themeColor="text1"/>
      </w:rPr>
    </w:lvl>
    <w:lvl w:ilvl="7">
      <w:start w:val="1"/>
      <w:numFmt w:val="upperLetter"/>
      <w:lvlRestart w:val="0"/>
      <w:lvlText w:val="(%8)"/>
      <w:lvlJc w:val="left"/>
      <w:pPr>
        <w:tabs>
          <w:tab w:val="num" w:pos="720"/>
        </w:tabs>
        <w:ind w:left="720" w:hanging="72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6" w15:restartNumberingAfterBreak="0">
    <w:nsid w:val="2B0768D5"/>
    <w:multiLevelType w:val="multilevel"/>
    <w:tmpl w:val="50D8C68C"/>
    <w:lvl w:ilvl="0">
      <w:start w:val="1"/>
      <w:numFmt w:val="decimal"/>
      <w:lvlText w:val="Appendix %1"/>
      <w:lvlJc w:val="left"/>
      <w:pPr>
        <w:ind w:left="0" w:firstLine="0"/>
      </w:pPr>
      <w:rPr>
        <w:rFonts w:ascii="Times New Roman" w:hAnsi="Times New Roman" w:cs="Times New Roman" w:hint="default"/>
        <w:b/>
        <w:i w:val="0"/>
        <w:color w:val="000000" w:themeColor="text1"/>
        <w:sz w:val="26"/>
      </w:rPr>
    </w:lvl>
    <w:lvl w:ilvl="1">
      <w:start w:val="1"/>
      <w:numFmt w:val="decimal"/>
      <w:lvlText w:val="Part %2"/>
      <w:lvlJc w:val="left"/>
      <w:pPr>
        <w:ind w:left="0" w:firstLine="0"/>
      </w:pPr>
      <w:rPr>
        <w:rFonts w:ascii="Times New Roman" w:hAnsi="Times New Roman" w:cs="Times New Roman" w:hint="default"/>
        <w:b/>
        <w:i w:val="0"/>
        <w:color w:val="000000" w:themeColor="text1"/>
        <w:sz w:val="22"/>
      </w:rPr>
    </w:lvl>
    <w:lvl w:ilvl="2">
      <w:start w:val="1"/>
      <w:numFmt w:val="decimal"/>
      <w:lvlText w:val="%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hint="default"/>
        <w:b w:val="0"/>
        <w:i w:val="0"/>
      </w:rPr>
    </w:lvl>
    <w:lvl w:ilvl="4">
      <w:start w:val="1"/>
      <w:numFmt w:val="lowerLetter"/>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880"/>
        </w:tabs>
        <w:ind w:left="288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1440"/>
        </w:tabs>
        <w:ind w:left="1440" w:hanging="720"/>
      </w:pPr>
      <w:rPr>
        <w:rFonts w:hint="default"/>
      </w:rPr>
    </w:lvl>
  </w:abstractNum>
  <w:abstractNum w:abstractNumId="7" w15:restartNumberingAfterBreak="0">
    <w:nsid w:val="346B2968"/>
    <w:multiLevelType w:val="multilevel"/>
    <w:tmpl w:val="1DCEBD7E"/>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8" w15:restartNumberingAfterBreak="0">
    <w:nsid w:val="395E1399"/>
    <w:multiLevelType w:val="multilevel"/>
    <w:tmpl w:val="C27EDB80"/>
    <w:name w:val="Definition"/>
    <w:lvl w:ilvl="0">
      <w:start w:val="1"/>
      <w:numFmt w:val="none"/>
      <w:suff w:val="nothing"/>
      <w:lvlText w:val=""/>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1FA612F"/>
    <w:multiLevelType w:val="hybridMultilevel"/>
    <w:tmpl w:val="4948E2E2"/>
    <w:lvl w:ilvl="0" w:tplc="E318C420">
      <w:start w:val="1"/>
      <w:numFmt w:val="bullet"/>
      <w:pStyle w:val="wBulle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8754FA"/>
    <w:multiLevelType w:val="hybridMultilevel"/>
    <w:tmpl w:val="05F6FF98"/>
    <w:name w:val="Parties"/>
    <w:lvl w:ilvl="0" w:tplc="671278A0">
      <w:start w:val="1"/>
      <w:numFmt w:val="upperLetter"/>
      <w:lvlText w:val="(%1)"/>
      <w:lvlJc w:val="left"/>
      <w:pPr>
        <w:tabs>
          <w:tab w:val="num" w:pos="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3E5BB2"/>
    <w:multiLevelType w:val="hybridMultilevel"/>
    <w:tmpl w:val="F53A3E52"/>
    <w:lvl w:ilvl="0" w:tplc="C21A1A12">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8126D73"/>
    <w:multiLevelType w:val="hybridMultilevel"/>
    <w:tmpl w:val="666E0518"/>
    <w:lvl w:ilvl="0" w:tplc="AF446BCA">
      <w:start w:val="1"/>
      <w:numFmt w:val="bullet"/>
      <w:pStyle w:val="w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3055484"/>
    <w:multiLevelType w:val="hybridMultilevel"/>
    <w:tmpl w:val="7318E39A"/>
    <w:lvl w:ilvl="0" w:tplc="835E15FA">
      <w:numFmt w:val="bullet"/>
      <w:lvlText w:val=""/>
      <w:lvlJc w:val="left"/>
      <w:pPr>
        <w:ind w:left="720" w:hanging="360"/>
      </w:pPr>
      <w:rPr>
        <w:rFonts w:ascii="Symbol" w:eastAsia="MS Mincho"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C82148"/>
    <w:multiLevelType w:val="hybridMultilevel"/>
    <w:tmpl w:val="FB9AF3C8"/>
    <w:lvl w:ilvl="0" w:tplc="1F1490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B77A41"/>
    <w:multiLevelType w:val="hybridMultilevel"/>
    <w:tmpl w:val="E598B7FC"/>
    <w:lvl w:ilvl="0" w:tplc="034A75E2">
      <w:start w:val="1"/>
      <w:numFmt w:val="bullet"/>
      <w:lvlText w:val=""/>
      <w:lvlJc w:val="left"/>
      <w:pPr>
        <w:tabs>
          <w:tab w:val="num" w:pos="417"/>
        </w:tabs>
        <w:ind w:left="341"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E017A5"/>
    <w:multiLevelType w:val="hybridMultilevel"/>
    <w:tmpl w:val="3CE695F4"/>
    <w:name w:val="Recitals"/>
    <w:lvl w:ilvl="0" w:tplc="37F40F88">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08644850">
    <w:abstractNumId w:val="13"/>
  </w:num>
  <w:num w:numId="2" w16cid:durableId="1757020963">
    <w:abstractNumId w:val="14"/>
  </w:num>
  <w:num w:numId="3" w16cid:durableId="687559912">
    <w:abstractNumId w:val="9"/>
  </w:num>
  <w:num w:numId="4" w16cid:durableId="1578513377">
    <w:abstractNumId w:val="1"/>
  </w:num>
  <w:num w:numId="5" w16cid:durableId="359088923">
    <w:abstractNumId w:val="12"/>
  </w:num>
  <w:num w:numId="6" w16cid:durableId="75060244">
    <w:abstractNumId w:val="11"/>
  </w:num>
  <w:num w:numId="7" w16cid:durableId="455609805">
    <w:abstractNumId w:val="2"/>
  </w:num>
  <w:num w:numId="8" w16cid:durableId="979963147">
    <w:abstractNumId w:val="5"/>
  </w:num>
  <w:num w:numId="9" w16cid:durableId="1679306873">
    <w:abstractNumId w:val="4"/>
  </w:num>
  <w:num w:numId="10" w16cid:durableId="376782085">
    <w:abstractNumId w:val="8"/>
  </w:num>
  <w:num w:numId="11" w16cid:durableId="556629284">
    <w:abstractNumId w:val="3"/>
  </w:num>
  <w:num w:numId="12" w16cid:durableId="34668572">
    <w:abstractNumId w:val="6"/>
  </w:num>
  <w:num w:numId="13" w16cid:durableId="406150281">
    <w:abstractNumId w:val="16"/>
  </w:num>
  <w:num w:numId="14" w16cid:durableId="1676419758">
    <w:abstractNumId w:val="17"/>
  </w:num>
  <w:num w:numId="15" w16cid:durableId="496001119">
    <w:abstractNumId w:val="10"/>
  </w:num>
  <w:num w:numId="16" w16cid:durableId="689529455">
    <w:abstractNumId w:val="12"/>
  </w:num>
  <w:num w:numId="17" w16cid:durableId="1747610131">
    <w:abstractNumId w:val="11"/>
  </w:num>
  <w:num w:numId="18" w16cid:durableId="1810853884">
    <w:abstractNumId w:val="0"/>
  </w:num>
  <w:num w:numId="19" w16cid:durableId="746077375">
    <w:abstractNumId w:val="0"/>
  </w:num>
  <w:num w:numId="20" w16cid:durableId="1734430278">
    <w:abstractNumId w:val="0"/>
  </w:num>
  <w:num w:numId="21" w16cid:durableId="1795172266">
    <w:abstractNumId w:val="0"/>
  </w:num>
  <w:num w:numId="22" w16cid:durableId="593251335">
    <w:abstractNumId w:val="0"/>
  </w:num>
  <w:num w:numId="23" w16cid:durableId="1125153293">
    <w:abstractNumId w:val="0"/>
  </w:num>
  <w:num w:numId="24" w16cid:durableId="372997283">
    <w:abstractNumId w:val="0"/>
  </w:num>
  <w:num w:numId="25" w16cid:durableId="1775007620">
    <w:abstractNumId w:val="4"/>
  </w:num>
  <w:num w:numId="26" w16cid:durableId="599918730">
    <w:abstractNumId w:val="4"/>
  </w:num>
  <w:num w:numId="27" w16cid:durableId="24524124">
    <w:abstractNumId w:val="4"/>
  </w:num>
  <w:num w:numId="28" w16cid:durableId="330063526">
    <w:abstractNumId w:val="4"/>
  </w:num>
  <w:num w:numId="29" w16cid:durableId="1099444694">
    <w:abstractNumId w:val="4"/>
  </w:num>
  <w:num w:numId="30" w16cid:durableId="1789354426">
    <w:abstractNumId w:val="4"/>
  </w:num>
  <w:num w:numId="31" w16cid:durableId="697582049">
    <w:abstractNumId w:val="4"/>
  </w:num>
  <w:num w:numId="32" w16cid:durableId="596641489">
    <w:abstractNumId w:val="4"/>
  </w:num>
  <w:num w:numId="33" w16cid:durableId="2045785441">
    <w:abstractNumId w:val="4"/>
  </w:num>
  <w:num w:numId="34" w16cid:durableId="1857576342">
    <w:abstractNumId w:val="0"/>
  </w:num>
  <w:num w:numId="35" w16cid:durableId="1618290418">
    <w:abstractNumId w:val="0"/>
  </w:num>
  <w:num w:numId="36" w16cid:durableId="2001418260">
    <w:abstractNumId w:val="13"/>
  </w:num>
  <w:num w:numId="37" w16cid:durableId="641277905">
    <w:abstractNumId w:val="14"/>
  </w:num>
  <w:num w:numId="38" w16cid:durableId="1820606466">
    <w:abstractNumId w:val="9"/>
  </w:num>
  <w:num w:numId="39" w16cid:durableId="456334184">
    <w:abstractNumId w:val="1"/>
  </w:num>
  <w:num w:numId="40" w16cid:durableId="522865096">
    <w:abstractNumId w:val="2"/>
  </w:num>
  <w:num w:numId="41" w16cid:durableId="792793578">
    <w:abstractNumId w:val="7"/>
  </w:num>
  <w:num w:numId="42" w16cid:durableId="1824851916">
    <w:abstractNumId w:val="7"/>
  </w:num>
  <w:num w:numId="43" w16cid:durableId="1087775783">
    <w:abstractNumId w:val="7"/>
  </w:num>
  <w:num w:numId="44" w16cid:durableId="1286348316">
    <w:abstractNumId w:val="7"/>
  </w:num>
  <w:num w:numId="45" w16cid:durableId="737705351">
    <w:abstractNumId w:val="7"/>
  </w:num>
  <w:num w:numId="46" w16cid:durableId="1629780663">
    <w:abstractNumId w:val="7"/>
  </w:num>
  <w:num w:numId="47" w16cid:durableId="1680229514">
    <w:abstractNumId w:val="7"/>
  </w:num>
  <w:num w:numId="48" w16cid:durableId="114269130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C75"/>
    <w:rsid w:val="00011622"/>
    <w:rsid w:val="000233CE"/>
    <w:rsid w:val="000403B6"/>
    <w:rsid w:val="000546A1"/>
    <w:rsid w:val="00061632"/>
    <w:rsid w:val="000849C1"/>
    <w:rsid w:val="00096922"/>
    <w:rsid w:val="000A166B"/>
    <w:rsid w:val="000B1632"/>
    <w:rsid w:val="000C11C6"/>
    <w:rsid w:val="000E4E8F"/>
    <w:rsid w:val="000F0EE3"/>
    <w:rsid w:val="000F1DFA"/>
    <w:rsid w:val="000F4F2B"/>
    <w:rsid w:val="00116577"/>
    <w:rsid w:val="001169D1"/>
    <w:rsid w:val="00121B58"/>
    <w:rsid w:val="001241E8"/>
    <w:rsid w:val="001361DF"/>
    <w:rsid w:val="0014273E"/>
    <w:rsid w:val="001428AE"/>
    <w:rsid w:val="0014395A"/>
    <w:rsid w:val="001450FF"/>
    <w:rsid w:val="00147CD9"/>
    <w:rsid w:val="0016113C"/>
    <w:rsid w:val="0017170F"/>
    <w:rsid w:val="00171929"/>
    <w:rsid w:val="0017605F"/>
    <w:rsid w:val="001950B9"/>
    <w:rsid w:val="001A4DA9"/>
    <w:rsid w:val="001B0338"/>
    <w:rsid w:val="001C7761"/>
    <w:rsid w:val="001D564D"/>
    <w:rsid w:val="001E0635"/>
    <w:rsid w:val="001E1399"/>
    <w:rsid w:val="001F730D"/>
    <w:rsid w:val="00200B15"/>
    <w:rsid w:val="002038AE"/>
    <w:rsid w:val="00210883"/>
    <w:rsid w:val="002151A9"/>
    <w:rsid w:val="002231DC"/>
    <w:rsid w:val="002346C3"/>
    <w:rsid w:val="00242C7C"/>
    <w:rsid w:val="00256050"/>
    <w:rsid w:val="00281DD1"/>
    <w:rsid w:val="002825ED"/>
    <w:rsid w:val="00297C3C"/>
    <w:rsid w:val="002A10EE"/>
    <w:rsid w:val="002A2BF5"/>
    <w:rsid w:val="002A3044"/>
    <w:rsid w:val="002B10AD"/>
    <w:rsid w:val="002B415A"/>
    <w:rsid w:val="002B5D05"/>
    <w:rsid w:val="002D0FAA"/>
    <w:rsid w:val="002E0AF8"/>
    <w:rsid w:val="003006EB"/>
    <w:rsid w:val="00305665"/>
    <w:rsid w:val="00326ECD"/>
    <w:rsid w:val="00330EB7"/>
    <w:rsid w:val="00331225"/>
    <w:rsid w:val="00332112"/>
    <w:rsid w:val="00333A72"/>
    <w:rsid w:val="00363389"/>
    <w:rsid w:val="003715BB"/>
    <w:rsid w:val="00372911"/>
    <w:rsid w:val="003734A6"/>
    <w:rsid w:val="00382118"/>
    <w:rsid w:val="00386B17"/>
    <w:rsid w:val="003A0B9C"/>
    <w:rsid w:val="003A6266"/>
    <w:rsid w:val="003A6750"/>
    <w:rsid w:val="003B2B8E"/>
    <w:rsid w:val="003B5D21"/>
    <w:rsid w:val="003C7975"/>
    <w:rsid w:val="003E093A"/>
    <w:rsid w:val="003E4DF8"/>
    <w:rsid w:val="003F3D10"/>
    <w:rsid w:val="00400832"/>
    <w:rsid w:val="00404D6E"/>
    <w:rsid w:val="004055BA"/>
    <w:rsid w:val="00422980"/>
    <w:rsid w:val="00425974"/>
    <w:rsid w:val="004313F3"/>
    <w:rsid w:val="00432195"/>
    <w:rsid w:val="00440CF3"/>
    <w:rsid w:val="0044240F"/>
    <w:rsid w:val="00464F92"/>
    <w:rsid w:val="004800A5"/>
    <w:rsid w:val="004A2451"/>
    <w:rsid w:val="004B3C22"/>
    <w:rsid w:val="004C33B1"/>
    <w:rsid w:val="004D0DF1"/>
    <w:rsid w:val="004E1C48"/>
    <w:rsid w:val="004F0BF3"/>
    <w:rsid w:val="00503413"/>
    <w:rsid w:val="005373FE"/>
    <w:rsid w:val="005465B2"/>
    <w:rsid w:val="00550EB9"/>
    <w:rsid w:val="00553DF0"/>
    <w:rsid w:val="00555E01"/>
    <w:rsid w:val="00566439"/>
    <w:rsid w:val="005B0CA3"/>
    <w:rsid w:val="005C18DB"/>
    <w:rsid w:val="005C33E5"/>
    <w:rsid w:val="005E434E"/>
    <w:rsid w:val="005F0069"/>
    <w:rsid w:val="005F0F58"/>
    <w:rsid w:val="005F1F71"/>
    <w:rsid w:val="00604D82"/>
    <w:rsid w:val="00614958"/>
    <w:rsid w:val="006161EE"/>
    <w:rsid w:val="00635EC1"/>
    <w:rsid w:val="00642288"/>
    <w:rsid w:val="00643D16"/>
    <w:rsid w:val="006523D4"/>
    <w:rsid w:val="00672573"/>
    <w:rsid w:val="006806E0"/>
    <w:rsid w:val="0068175B"/>
    <w:rsid w:val="00682433"/>
    <w:rsid w:val="006873E2"/>
    <w:rsid w:val="00692B1E"/>
    <w:rsid w:val="006B0BFC"/>
    <w:rsid w:val="006C1811"/>
    <w:rsid w:val="006C2D88"/>
    <w:rsid w:val="006E68EE"/>
    <w:rsid w:val="006F13E8"/>
    <w:rsid w:val="006F1C68"/>
    <w:rsid w:val="006F2E2C"/>
    <w:rsid w:val="00705ABE"/>
    <w:rsid w:val="007060C7"/>
    <w:rsid w:val="00714596"/>
    <w:rsid w:val="00742547"/>
    <w:rsid w:val="00744D10"/>
    <w:rsid w:val="007511E3"/>
    <w:rsid w:val="00754FAA"/>
    <w:rsid w:val="00763C51"/>
    <w:rsid w:val="00781461"/>
    <w:rsid w:val="007839B4"/>
    <w:rsid w:val="00790476"/>
    <w:rsid w:val="007920C9"/>
    <w:rsid w:val="007935C8"/>
    <w:rsid w:val="0079374D"/>
    <w:rsid w:val="007A6AD6"/>
    <w:rsid w:val="007B5B3F"/>
    <w:rsid w:val="007F626E"/>
    <w:rsid w:val="00812BBF"/>
    <w:rsid w:val="008201A0"/>
    <w:rsid w:val="00821FA1"/>
    <w:rsid w:val="00844042"/>
    <w:rsid w:val="00844C17"/>
    <w:rsid w:val="00845425"/>
    <w:rsid w:val="00846AFA"/>
    <w:rsid w:val="00854C74"/>
    <w:rsid w:val="008649D7"/>
    <w:rsid w:val="00871B12"/>
    <w:rsid w:val="008739B0"/>
    <w:rsid w:val="00876572"/>
    <w:rsid w:val="00876E93"/>
    <w:rsid w:val="008846D0"/>
    <w:rsid w:val="0089716C"/>
    <w:rsid w:val="008B7493"/>
    <w:rsid w:val="008D01B1"/>
    <w:rsid w:val="008D11D0"/>
    <w:rsid w:val="008E4EC5"/>
    <w:rsid w:val="008E6C9C"/>
    <w:rsid w:val="008F1A7D"/>
    <w:rsid w:val="008F2FAF"/>
    <w:rsid w:val="008F46B9"/>
    <w:rsid w:val="00902D3C"/>
    <w:rsid w:val="00915C75"/>
    <w:rsid w:val="00930821"/>
    <w:rsid w:val="00931CD7"/>
    <w:rsid w:val="00941A97"/>
    <w:rsid w:val="00946121"/>
    <w:rsid w:val="00947C80"/>
    <w:rsid w:val="00956BF9"/>
    <w:rsid w:val="00964E84"/>
    <w:rsid w:val="009765A2"/>
    <w:rsid w:val="00984C9A"/>
    <w:rsid w:val="00985125"/>
    <w:rsid w:val="00986AE7"/>
    <w:rsid w:val="00990BB5"/>
    <w:rsid w:val="00991666"/>
    <w:rsid w:val="00991794"/>
    <w:rsid w:val="009928D5"/>
    <w:rsid w:val="009A6D6B"/>
    <w:rsid w:val="009B3A7F"/>
    <w:rsid w:val="009B536E"/>
    <w:rsid w:val="009D307D"/>
    <w:rsid w:val="009E2292"/>
    <w:rsid w:val="009F63DF"/>
    <w:rsid w:val="009F6647"/>
    <w:rsid w:val="00A067A8"/>
    <w:rsid w:val="00A225D1"/>
    <w:rsid w:val="00A32BDA"/>
    <w:rsid w:val="00A352A6"/>
    <w:rsid w:val="00A40F41"/>
    <w:rsid w:val="00A55CDE"/>
    <w:rsid w:val="00A651A0"/>
    <w:rsid w:val="00A72F41"/>
    <w:rsid w:val="00A84885"/>
    <w:rsid w:val="00AA4E89"/>
    <w:rsid w:val="00AB12CE"/>
    <w:rsid w:val="00AB26EF"/>
    <w:rsid w:val="00AB5BAC"/>
    <w:rsid w:val="00AB7510"/>
    <w:rsid w:val="00AB77D2"/>
    <w:rsid w:val="00AE53F7"/>
    <w:rsid w:val="00AF1AA3"/>
    <w:rsid w:val="00AF7CB6"/>
    <w:rsid w:val="00B0021D"/>
    <w:rsid w:val="00B05308"/>
    <w:rsid w:val="00B25024"/>
    <w:rsid w:val="00B32FE2"/>
    <w:rsid w:val="00B4676F"/>
    <w:rsid w:val="00B575F0"/>
    <w:rsid w:val="00B64170"/>
    <w:rsid w:val="00BA5F00"/>
    <w:rsid w:val="00BB1925"/>
    <w:rsid w:val="00BB34F5"/>
    <w:rsid w:val="00BD3DCB"/>
    <w:rsid w:val="00BE2177"/>
    <w:rsid w:val="00BF1512"/>
    <w:rsid w:val="00C048A6"/>
    <w:rsid w:val="00C07C39"/>
    <w:rsid w:val="00C13F79"/>
    <w:rsid w:val="00C8208E"/>
    <w:rsid w:val="00C8421C"/>
    <w:rsid w:val="00C84471"/>
    <w:rsid w:val="00CB5F45"/>
    <w:rsid w:val="00CB7E39"/>
    <w:rsid w:val="00CC1ED3"/>
    <w:rsid w:val="00CE0CAB"/>
    <w:rsid w:val="00CF1088"/>
    <w:rsid w:val="00CF5469"/>
    <w:rsid w:val="00D01347"/>
    <w:rsid w:val="00D05ED1"/>
    <w:rsid w:val="00D1241C"/>
    <w:rsid w:val="00D331F0"/>
    <w:rsid w:val="00D4062E"/>
    <w:rsid w:val="00D4098A"/>
    <w:rsid w:val="00D72650"/>
    <w:rsid w:val="00D72C46"/>
    <w:rsid w:val="00D862C8"/>
    <w:rsid w:val="00D926EE"/>
    <w:rsid w:val="00DA0917"/>
    <w:rsid w:val="00DA7348"/>
    <w:rsid w:val="00DB429F"/>
    <w:rsid w:val="00DB453F"/>
    <w:rsid w:val="00DC75B9"/>
    <w:rsid w:val="00DD01E9"/>
    <w:rsid w:val="00DD4288"/>
    <w:rsid w:val="00DD56B8"/>
    <w:rsid w:val="00DE1AB9"/>
    <w:rsid w:val="00DE3443"/>
    <w:rsid w:val="00E024DA"/>
    <w:rsid w:val="00E03967"/>
    <w:rsid w:val="00E06EE7"/>
    <w:rsid w:val="00E1507D"/>
    <w:rsid w:val="00E16B10"/>
    <w:rsid w:val="00E305D4"/>
    <w:rsid w:val="00E35840"/>
    <w:rsid w:val="00E35D8A"/>
    <w:rsid w:val="00E43DFC"/>
    <w:rsid w:val="00E4432B"/>
    <w:rsid w:val="00E46127"/>
    <w:rsid w:val="00E46427"/>
    <w:rsid w:val="00E54D17"/>
    <w:rsid w:val="00E809A1"/>
    <w:rsid w:val="00E86A1C"/>
    <w:rsid w:val="00EC2CEB"/>
    <w:rsid w:val="00EC39DD"/>
    <w:rsid w:val="00EC51CC"/>
    <w:rsid w:val="00ED2AD3"/>
    <w:rsid w:val="00ED7F6F"/>
    <w:rsid w:val="00EE2F93"/>
    <w:rsid w:val="00EE331D"/>
    <w:rsid w:val="00EF10EA"/>
    <w:rsid w:val="00F00C17"/>
    <w:rsid w:val="00F048BC"/>
    <w:rsid w:val="00F05FAE"/>
    <w:rsid w:val="00F065EC"/>
    <w:rsid w:val="00F13FF9"/>
    <w:rsid w:val="00F200BB"/>
    <w:rsid w:val="00F24918"/>
    <w:rsid w:val="00F2663D"/>
    <w:rsid w:val="00F37555"/>
    <w:rsid w:val="00F43FF6"/>
    <w:rsid w:val="00F546FA"/>
    <w:rsid w:val="00F54EB9"/>
    <w:rsid w:val="00F6461F"/>
    <w:rsid w:val="00F90EFA"/>
    <w:rsid w:val="00F95829"/>
    <w:rsid w:val="00FA08DC"/>
    <w:rsid w:val="00FA2229"/>
    <w:rsid w:val="00FB337E"/>
    <w:rsid w:val="00FB6914"/>
    <w:rsid w:val="00FB7C9F"/>
    <w:rsid w:val="00FC601F"/>
    <w:rsid w:val="00FE662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662D6"/>
  <w15:docId w15:val="{51B864E1-44F0-4BDC-8C9F-F172680A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48"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iPriority="9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38"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semiHidden="1" w:uiPriority="46"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8"/>
    <w:qFormat/>
    <w:rsid w:val="00BE2177"/>
    <w:pPr>
      <w:spacing w:after="0" w:line="240" w:lineRule="auto"/>
    </w:pPr>
    <w:rPr>
      <w:rFonts w:ascii="Times New Roman" w:eastAsia="MS Mincho" w:hAnsi="Times New Roman" w:cs="Times New Roman"/>
    </w:rPr>
  </w:style>
  <w:style w:type="paragraph" w:styleId="Heading1">
    <w:name w:val="heading 1"/>
    <w:basedOn w:val="Normal"/>
    <w:next w:val="Heading2"/>
    <w:link w:val="Heading1Char"/>
    <w:qFormat/>
    <w:rsid w:val="00BE2177"/>
    <w:pPr>
      <w:keepNext/>
      <w:keepLines/>
      <w:widowControl w:val="0"/>
      <w:numPr>
        <w:numId w:val="33"/>
      </w:numPr>
      <w:spacing w:before="360" w:after="180"/>
      <w:outlineLvl w:val="0"/>
    </w:pPr>
    <w:rPr>
      <w:b/>
      <w:bCs/>
      <w:sz w:val="26"/>
    </w:rPr>
  </w:style>
  <w:style w:type="paragraph" w:styleId="Heading2">
    <w:name w:val="heading 2"/>
    <w:basedOn w:val="Normal"/>
    <w:next w:val="wText1"/>
    <w:link w:val="Heading2Char"/>
    <w:qFormat/>
    <w:rsid w:val="00BE2177"/>
    <w:pPr>
      <w:keepNext/>
      <w:numPr>
        <w:ilvl w:val="1"/>
        <w:numId w:val="33"/>
      </w:numPr>
      <w:spacing w:after="180"/>
      <w:jc w:val="both"/>
      <w:outlineLvl w:val="1"/>
    </w:pPr>
    <w:rPr>
      <w:b/>
      <w:bCs/>
    </w:rPr>
  </w:style>
  <w:style w:type="paragraph" w:styleId="Heading3">
    <w:name w:val="heading 3"/>
    <w:basedOn w:val="Normal"/>
    <w:link w:val="Heading3Char"/>
    <w:qFormat/>
    <w:rsid w:val="00BE2177"/>
    <w:pPr>
      <w:numPr>
        <w:ilvl w:val="2"/>
        <w:numId w:val="33"/>
      </w:numPr>
      <w:spacing w:after="180"/>
      <w:jc w:val="both"/>
      <w:outlineLvl w:val="2"/>
    </w:pPr>
  </w:style>
  <w:style w:type="paragraph" w:styleId="Heading4">
    <w:name w:val="heading 4"/>
    <w:basedOn w:val="Normal"/>
    <w:link w:val="Heading4Char"/>
    <w:qFormat/>
    <w:rsid w:val="00BE2177"/>
    <w:pPr>
      <w:numPr>
        <w:ilvl w:val="3"/>
        <w:numId w:val="33"/>
      </w:numPr>
      <w:spacing w:after="180"/>
      <w:jc w:val="both"/>
      <w:outlineLvl w:val="3"/>
    </w:pPr>
  </w:style>
  <w:style w:type="paragraph" w:styleId="Heading5">
    <w:name w:val="heading 5"/>
    <w:basedOn w:val="Normal"/>
    <w:link w:val="Heading5Char"/>
    <w:qFormat/>
    <w:rsid w:val="00BE2177"/>
    <w:pPr>
      <w:numPr>
        <w:ilvl w:val="4"/>
        <w:numId w:val="33"/>
      </w:numPr>
      <w:spacing w:after="180"/>
      <w:jc w:val="both"/>
      <w:outlineLvl w:val="4"/>
    </w:pPr>
  </w:style>
  <w:style w:type="paragraph" w:styleId="Heading6">
    <w:name w:val="heading 6"/>
    <w:basedOn w:val="Normal"/>
    <w:link w:val="Heading6Char"/>
    <w:qFormat/>
    <w:rsid w:val="00BE2177"/>
    <w:pPr>
      <w:numPr>
        <w:ilvl w:val="5"/>
        <w:numId w:val="33"/>
      </w:numPr>
      <w:spacing w:after="180"/>
      <w:jc w:val="both"/>
      <w:outlineLvl w:val="5"/>
    </w:pPr>
  </w:style>
  <w:style w:type="paragraph" w:styleId="Heading7">
    <w:name w:val="heading 7"/>
    <w:basedOn w:val="Normal"/>
    <w:link w:val="Heading7Char"/>
    <w:qFormat/>
    <w:rsid w:val="00BE2177"/>
    <w:pPr>
      <w:numPr>
        <w:ilvl w:val="6"/>
        <w:numId w:val="33"/>
      </w:numPr>
      <w:spacing w:after="180"/>
      <w:jc w:val="both"/>
      <w:outlineLvl w:val="6"/>
    </w:pPr>
  </w:style>
  <w:style w:type="paragraph" w:styleId="Heading8">
    <w:name w:val="heading 8"/>
    <w:basedOn w:val="Normal"/>
    <w:next w:val="Normal"/>
    <w:link w:val="Heading8Char"/>
    <w:qFormat/>
    <w:rsid w:val="00BE2177"/>
    <w:pPr>
      <w:numPr>
        <w:ilvl w:val="7"/>
        <w:numId w:val="33"/>
      </w:numPr>
      <w:spacing w:after="180"/>
      <w:jc w:val="both"/>
      <w:outlineLvl w:val="7"/>
    </w:pPr>
    <w:rPr>
      <w:color w:val="000000" w:themeColor="text1"/>
    </w:rPr>
  </w:style>
  <w:style w:type="paragraph" w:styleId="Heading9">
    <w:name w:val="heading 9"/>
    <w:basedOn w:val="Normal"/>
    <w:next w:val="wText"/>
    <w:link w:val="Heading9Char"/>
    <w:qFormat/>
    <w:rsid w:val="00BE2177"/>
    <w:pPr>
      <w:numPr>
        <w:ilvl w:val="8"/>
        <w:numId w:val="33"/>
      </w:numPr>
      <w:spacing w:after="18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49"/>
    <w:qFormat/>
    <w:rsid w:val="00BE2177"/>
    <w:pPr>
      <w:spacing w:after="0" w:line="240" w:lineRule="auto"/>
    </w:pPr>
    <w:rPr>
      <w:rFonts w:eastAsia="Times New Roman"/>
      <w:lang w:eastAsia="ja-JP"/>
    </w:rPr>
  </w:style>
  <w:style w:type="paragraph" w:customStyle="1" w:styleId="wText">
    <w:name w:val="wText"/>
    <w:basedOn w:val="Normal"/>
    <w:link w:val="wTextChar"/>
    <w:uiPriority w:val="1"/>
    <w:qFormat/>
    <w:rsid w:val="00BE2177"/>
    <w:pPr>
      <w:spacing w:after="180"/>
      <w:jc w:val="both"/>
    </w:pPr>
  </w:style>
  <w:style w:type="paragraph" w:customStyle="1" w:styleId="wText1">
    <w:name w:val="wText1"/>
    <w:basedOn w:val="Normal"/>
    <w:uiPriority w:val="1"/>
    <w:qFormat/>
    <w:rsid w:val="00BE2177"/>
    <w:pPr>
      <w:spacing w:after="180"/>
      <w:ind w:left="720"/>
      <w:jc w:val="both"/>
    </w:pPr>
  </w:style>
  <w:style w:type="paragraph" w:customStyle="1" w:styleId="wText2">
    <w:name w:val="wText2"/>
    <w:basedOn w:val="Normal"/>
    <w:uiPriority w:val="1"/>
    <w:qFormat/>
    <w:rsid w:val="00BE2177"/>
    <w:pPr>
      <w:spacing w:after="180"/>
      <w:ind w:left="1440"/>
      <w:jc w:val="both"/>
    </w:pPr>
  </w:style>
  <w:style w:type="paragraph" w:customStyle="1" w:styleId="Text2">
    <w:name w:val="Text 2"/>
    <w:basedOn w:val="Normal"/>
    <w:semiHidden/>
    <w:rsid w:val="00BE2177"/>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Normal"/>
    <w:uiPriority w:val="5"/>
    <w:qFormat/>
    <w:rsid w:val="00BE2177"/>
    <w:pPr>
      <w:spacing w:after="180"/>
      <w:jc w:val="center"/>
    </w:pPr>
  </w:style>
  <w:style w:type="paragraph" w:customStyle="1" w:styleId="wCenterB">
    <w:name w:val="wCenterB"/>
    <w:basedOn w:val="Normal"/>
    <w:uiPriority w:val="6"/>
    <w:qFormat/>
    <w:rsid w:val="00BE2177"/>
    <w:pPr>
      <w:spacing w:after="180"/>
      <w:jc w:val="center"/>
    </w:pPr>
    <w:rPr>
      <w:b/>
    </w:rPr>
  </w:style>
  <w:style w:type="paragraph" w:customStyle="1" w:styleId="wLeftB">
    <w:name w:val="wLeftB"/>
    <w:basedOn w:val="Normal"/>
    <w:uiPriority w:val="10"/>
    <w:qFormat/>
    <w:rsid w:val="00BE2177"/>
    <w:pPr>
      <w:keepNext/>
      <w:spacing w:after="180"/>
    </w:pPr>
    <w:rPr>
      <w:b/>
    </w:rPr>
  </w:style>
  <w:style w:type="paragraph" w:customStyle="1" w:styleId="wLeftI">
    <w:name w:val="wLeftI"/>
    <w:basedOn w:val="Normal"/>
    <w:uiPriority w:val="10"/>
    <w:qFormat/>
    <w:rsid w:val="00BE2177"/>
    <w:pPr>
      <w:spacing w:after="180"/>
    </w:pPr>
    <w:rPr>
      <w:i/>
    </w:rPr>
  </w:style>
  <w:style w:type="character" w:customStyle="1" w:styleId="Heading1Char">
    <w:name w:val="Heading 1 Char"/>
    <w:basedOn w:val="DefaultParagraphFont"/>
    <w:link w:val="Heading1"/>
    <w:rsid w:val="00BE2177"/>
    <w:rPr>
      <w:rFonts w:ascii="Times New Roman" w:eastAsia="MS Mincho" w:hAnsi="Times New Roman" w:cs="Times New Roman"/>
      <w:b/>
      <w:bCs/>
      <w:sz w:val="26"/>
    </w:rPr>
  </w:style>
  <w:style w:type="character" w:customStyle="1" w:styleId="Heading2Char">
    <w:name w:val="Heading 2 Char"/>
    <w:basedOn w:val="DefaultParagraphFont"/>
    <w:link w:val="Heading2"/>
    <w:rsid w:val="00BE2177"/>
    <w:rPr>
      <w:rFonts w:ascii="Times New Roman" w:eastAsia="MS Mincho" w:hAnsi="Times New Roman" w:cs="Times New Roman"/>
      <w:b/>
      <w:bCs/>
    </w:rPr>
  </w:style>
  <w:style w:type="character" w:customStyle="1" w:styleId="Heading3Char">
    <w:name w:val="Heading 3 Char"/>
    <w:basedOn w:val="DefaultParagraphFont"/>
    <w:link w:val="Heading3"/>
    <w:rsid w:val="00BE2177"/>
    <w:rPr>
      <w:rFonts w:ascii="Times New Roman" w:eastAsia="MS Mincho" w:hAnsi="Times New Roman" w:cs="Times New Roman"/>
    </w:rPr>
  </w:style>
  <w:style w:type="character" w:customStyle="1" w:styleId="Heading4Char">
    <w:name w:val="Heading 4 Char"/>
    <w:basedOn w:val="DefaultParagraphFont"/>
    <w:link w:val="Heading4"/>
    <w:rsid w:val="00BE2177"/>
    <w:rPr>
      <w:rFonts w:ascii="Times New Roman" w:eastAsia="MS Mincho" w:hAnsi="Times New Roman" w:cs="Times New Roman"/>
    </w:rPr>
  </w:style>
  <w:style w:type="character" w:customStyle="1" w:styleId="Heading5Char">
    <w:name w:val="Heading 5 Char"/>
    <w:basedOn w:val="DefaultParagraphFont"/>
    <w:link w:val="Heading5"/>
    <w:rsid w:val="00BE2177"/>
    <w:rPr>
      <w:rFonts w:ascii="Times New Roman" w:eastAsia="MS Mincho" w:hAnsi="Times New Roman" w:cs="Times New Roman"/>
    </w:rPr>
  </w:style>
  <w:style w:type="character" w:customStyle="1" w:styleId="Heading6Char">
    <w:name w:val="Heading 6 Char"/>
    <w:basedOn w:val="DefaultParagraphFont"/>
    <w:link w:val="Heading6"/>
    <w:rsid w:val="00BE2177"/>
    <w:rPr>
      <w:rFonts w:ascii="Times New Roman" w:eastAsia="MS Mincho" w:hAnsi="Times New Roman" w:cs="Times New Roman"/>
    </w:rPr>
  </w:style>
  <w:style w:type="character" w:customStyle="1" w:styleId="Heading7Char">
    <w:name w:val="Heading 7 Char"/>
    <w:basedOn w:val="DefaultParagraphFont"/>
    <w:link w:val="Heading7"/>
    <w:rsid w:val="00BE2177"/>
    <w:rPr>
      <w:rFonts w:ascii="Times New Roman" w:eastAsia="MS Mincho" w:hAnsi="Times New Roman" w:cs="Times New Roman"/>
    </w:rPr>
  </w:style>
  <w:style w:type="character" w:customStyle="1" w:styleId="Heading8Char">
    <w:name w:val="Heading 8 Char"/>
    <w:basedOn w:val="DefaultParagraphFont"/>
    <w:link w:val="Heading8"/>
    <w:rsid w:val="00BE2177"/>
    <w:rPr>
      <w:rFonts w:ascii="Times New Roman" w:eastAsia="MS Mincho" w:hAnsi="Times New Roman" w:cs="Times New Roman"/>
      <w:color w:val="000000" w:themeColor="text1"/>
    </w:rPr>
  </w:style>
  <w:style w:type="character" w:customStyle="1" w:styleId="Heading9Char">
    <w:name w:val="Heading 9 Char"/>
    <w:basedOn w:val="DefaultParagraphFont"/>
    <w:link w:val="Heading9"/>
    <w:rsid w:val="00BE2177"/>
    <w:rPr>
      <w:rFonts w:ascii="Times New Roman" w:eastAsia="MS Mincho" w:hAnsi="Times New Roman" w:cs="Times New Roman"/>
    </w:rPr>
  </w:style>
  <w:style w:type="paragraph" w:styleId="Title">
    <w:name w:val="Title"/>
    <w:basedOn w:val="Normal"/>
    <w:next w:val="Normal"/>
    <w:link w:val="TitleChar"/>
    <w:uiPriority w:val="49"/>
    <w:semiHidden/>
    <w:qFormat/>
    <w:rsid w:val="00BE2177"/>
    <w:pPr>
      <w:pBdr>
        <w:bottom w:val="single" w:sz="8" w:space="4" w:color="00A5D9" w:themeColor="accent1"/>
      </w:pBdr>
      <w:spacing w:after="240"/>
      <w:contextualSpacing/>
      <w:jc w:val="center"/>
    </w:pPr>
    <w:rPr>
      <w:rFonts w:eastAsia="Times New Roman"/>
      <w:b/>
      <w:color w:val="000000" w:themeColor="text1"/>
      <w:spacing w:val="5"/>
      <w:kern w:val="28"/>
      <w:szCs w:val="52"/>
    </w:rPr>
  </w:style>
  <w:style w:type="character" w:customStyle="1" w:styleId="TitleChar">
    <w:name w:val="Title Char"/>
    <w:basedOn w:val="DefaultParagraphFont"/>
    <w:link w:val="Title"/>
    <w:uiPriority w:val="49"/>
    <w:semiHidden/>
    <w:rsid w:val="00BE2177"/>
    <w:rPr>
      <w:rFonts w:ascii="Times New Roman" w:eastAsia="Times New Roman" w:hAnsi="Times New Roman" w:cs="Times New Roman"/>
      <w:b/>
      <w:color w:val="000000" w:themeColor="text1"/>
      <w:spacing w:val="5"/>
      <w:kern w:val="28"/>
      <w:szCs w:val="52"/>
    </w:rPr>
  </w:style>
  <w:style w:type="paragraph" w:styleId="Subtitle">
    <w:name w:val="Subtitle"/>
    <w:basedOn w:val="Normal"/>
    <w:next w:val="Normal"/>
    <w:link w:val="SubtitleChar"/>
    <w:uiPriority w:val="49"/>
    <w:semiHidden/>
    <w:qFormat/>
    <w:rsid w:val="00BE2177"/>
    <w:pPr>
      <w:numPr>
        <w:ilvl w:val="1"/>
      </w:numPr>
      <w:spacing w:after="240"/>
      <w:jc w:val="center"/>
    </w:pPr>
    <w:rPr>
      <w:rFonts w:eastAsia="Times New Roman"/>
      <w:i/>
      <w:iCs/>
      <w:color w:val="000000" w:themeColor="text1"/>
      <w:spacing w:val="15"/>
      <w:szCs w:val="24"/>
    </w:rPr>
  </w:style>
  <w:style w:type="character" w:customStyle="1" w:styleId="SubtitleChar">
    <w:name w:val="Subtitle Char"/>
    <w:basedOn w:val="DefaultParagraphFont"/>
    <w:link w:val="Subtitle"/>
    <w:uiPriority w:val="49"/>
    <w:semiHidden/>
    <w:rsid w:val="00BE2177"/>
    <w:rPr>
      <w:rFonts w:ascii="Times New Roman" w:eastAsia="Times New Roman" w:hAnsi="Times New Roman" w:cs="Times New Roman"/>
      <w:i/>
      <w:iCs/>
      <w:color w:val="000000" w:themeColor="text1"/>
      <w:spacing w:val="15"/>
      <w:szCs w:val="24"/>
    </w:rPr>
  </w:style>
  <w:style w:type="character" w:customStyle="1" w:styleId="NoSpacingChar">
    <w:name w:val="No Spacing Char"/>
    <w:basedOn w:val="DefaultParagraphFont"/>
    <w:link w:val="NoSpacing"/>
    <w:uiPriority w:val="49"/>
    <w:rsid w:val="00BE2177"/>
    <w:rPr>
      <w:rFonts w:eastAsia="Times New Roman"/>
      <w:lang w:eastAsia="ja-JP"/>
    </w:rPr>
  </w:style>
  <w:style w:type="paragraph" w:styleId="BalloonText">
    <w:name w:val="Balloon Text"/>
    <w:basedOn w:val="Normal"/>
    <w:link w:val="BalloonTextChar"/>
    <w:uiPriority w:val="99"/>
    <w:semiHidden/>
    <w:unhideWhenUsed/>
    <w:rsid w:val="00BE2177"/>
    <w:rPr>
      <w:rFonts w:ascii="Tahoma" w:hAnsi="Tahoma" w:cs="Tahoma"/>
      <w:sz w:val="16"/>
      <w:szCs w:val="16"/>
    </w:rPr>
  </w:style>
  <w:style w:type="character" w:customStyle="1" w:styleId="BalloonTextChar">
    <w:name w:val="Balloon Text Char"/>
    <w:basedOn w:val="DefaultParagraphFont"/>
    <w:link w:val="BalloonText"/>
    <w:uiPriority w:val="99"/>
    <w:semiHidden/>
    <w:rsid w:val="00BE2177"/>
    <w:rPr>
      <w:rFonts w:ascii="Tahoma" w:eastAsia="MS Mincho" w:hAnsi="Tahoma" w:cs="Tahoma"/>
      <w:sz w:val="16"/>
      <w:szCs w:val="16"/>
    </w:rPr>
  </w:style>
  <w:style w:type="paragraph" w:styleId="Header">
    <w:name w:val="header"/>
    <w:basedOn w:val="Normal"/>
    <w:link w:val="HeaderChar"/>
    <w:uiPriority w:val="49"/>
    <w:rsid w:val="00BE2177"/>
    <w:pPr>
      <w:jc w:val="both"/>
    </w:pPr>
    <w:rPr>
      <w:rFonts w:eastAsia="Times New Roman"/>
      <w:szCs w:val="20"/>
      <w:lang w:eastAsia="de-DE"/>
    </w:rPr>
  </w:style>
  <w:style w:type="character" w:customStyle="1" w:styleId="HeaderChar">
    <w:name w:val="Header Char"/>
    <w:basedOn w:val="DefaultParagraphFont"/>
    <w:link w:val="Header"/>
    <w:uiPriority w:val="49"/>
    <w:rsid w:val="00BE2177"/>
    <w:rPr>
      <w:rFonts w:ascii="Times New Roman" w:eastAsia="Times New Roman" w:hAnsi="Times New Roman" w:cs="Times New Roman"/>
      <w:szCs w:val="20"/>
      <w:lang w:eastAsia="de-DE"/>
    </w:rPr>
  </w:style>
  <w:style w:type="paragraph" w:styleId="Footer">
    <w:name w:val="footer"/>
    <w:basedOn w:val="Normal"/>
    <w:link w:val="FooterChar"/>
    <w:uiPriority w:val="49"/>
    <w:rsid w:val="00BE2177"/>
    <w:pPr>
      <w:tabs>
        <w:tab w:val="center" w:pos="4536"/>
        <w:tab w:val="right" w:pos="9072"/>
      </w:tabs>
    </w:pPr>
    <w:rPr>
      <w:rFonts w:eastAsia="Times New Roman"/>
      <w:sz w:val="16"/>
      <w:szCs w:val="20"/>
      <w:lang w:eastAsia="de-DE"/>
    </w:rPr>
  </w:style>
  <w:style w:type="character" w:customStyle="1" w:styleId="FooterChar">
    <w:name w:val="Footer Char"/>
    <w:basedOn w:val="DefaultParagraphFont"/>
    <w:link w:val="Footer"/>
    <w:uiPriority w:val="49"/>
    <w:rsid w:val="00BE2177"/>
    <w:rPr>
      <w:rFonts w:ascii="Times New Roman" w:eastAsia="Times New Roman" w:hAnsi="Times New Roman" w:cs="Times New Roman"/>
      <w:sz w:val="16"/>
      <w:szCs w:val="20"/>
      <w:lang w:eastAsia="de-DE"/>
    </w:rPr>
  </w:style>
  <w:style w:type="paragraph" w:customStyle="1" w:styleId="WCPageNumber">
    <w:name w:val="WCPageNumber"/>
    <w:link w:val="WCPageNumberChar"/>
    <w:uiPriority w:val="99"/>
    <w:rsid w:val="00BE2177"/>
    <w:pPr>
      <w:spacing w:after="0" w:line="240" w:lineRule="auto"/>
      <w:jc w:val="center"/>
    </w:pPr>
    <w:rPr>
      <w:rFonts w:ascii="Times New Roman" w:hAnsi="Times New Roman" w:cs="Times New Roman"/>
    </w:rPr>
  </w:style>
  <w:style w:type="character" w:customStyle="1" w:styleId="WCPageNumberChar">
    <w:name w:val="WCPageNumber Char"/>
    <w:basedOn w:val="DefaultParagraphFont"/>
    <w:link w:val="WCPageNumber"/>
    <w:uiPriority w:val="99"/>
    <w:rsid w:val="00BE2177"/>
    <w:rPr>
      <w:rFonts w:ascii="Times New Roman" w:hAnsi="Times New Roman" w:cs="Times New Roman"/>
    </w:rPr>
  </w:style>
  <w:style w:type="paragraph" w:customStyle="1" w:styleId="wQuote1">
    <w:name w:val="wQuote1"/>
    <w:basedOn w:val="Normal"/>
    <w:uiPriority w:val="4"/>
    <w:qFormat/>
    <w:rsid w:val="00BE2177"/>
    <w:pPr>
      <w:spacing w:after="180"/>
      <w:ind w:left="720"/>
      <w:jc w:val="both"/>
    </w:pPr>
    <w:rPr>
      <w:i/>
    </w:rPr>
  </w:style>
  <w:style w:type="paragraph" w:customStyle="1" w:styleId="wQuote2">
    <w:name w:val="wQuote2"/>
    <w:basedOn w:val="Normal"/>
    <w:uiPriority w:val="4"/>
    <w:qFormat/>
    <w:rsid w:val="00BE2177"/>
    <w:pPr>
      <w:spacing w:after="180"/>
      <w:ind w:left="1440"/>
      <w:jc w:val="both"/>
    </w:pPr>
    <w:rPr>
      <w:i/>
    </w:rPr>
  </w:style>
  <w:style w:type="paragraph" w:customStyle="1" w:styleId="wQuote3">
    <w:name w:val="wQuote3"/>
    <w:basedOn w:val="Normal"/>
    <w:uiPriority w:val="4"/>
    <w:qFormat/>
    <w:rsid w:val="00BE2177"/>
    <w:pPr>
      <w:spacing w:after="180"/>
      <w:ind w:left="2160"/>
      <w:jc w:val="both"/>
    </w:pPr>
    <w:rPr>
      <w:i/>
    </w:rPr>
  </w:style>
  <w:style w:type="paragraph" w:customStyle="1" w:styleId="wText3">
    <w:name w:val="wText3"/>
    <w:basedOn w:val="Normal"/>
    <w:uiPriority w:val="1"/>
    <w:qFormat/>
    <w:rsid w:val="00BE2177"/>
    <w:pPr>
      <w:spacing w:after="180"/>
      <w:ind w:left="2160"/>
      <w:jc w:val="both"/>
    </w:pPr>
  </w:style>
  <w:style w:type="paragraph" w:customStyle="1" w:styleId="wBullet">
    <w:name w:val="wBullet"/>
    <w:basedOn w:val="Normal"/>
    <w:uiPriority w:val="8"/>
    <w:qFormat/>
    <w:rsid w:val="002E0AF8"/>
    <w:pPr>
      <w:numPr>
        <w:numId w:val="36"/>
      </w:numPr>
      <w:spacing w:after="180"/>
      <w:ind w:hanging="720"/>
      <w:jc w:val="both"/>
    </w:pPr>
  </w:style>
  <w:style w:type="paragraph" w:customStyle="1" w:styleId="wBullet1">
    <w:name w:val="wBullet1"/>
    <w:basedOn w:val="Normal"/>
    <w:uiPriority w:val="8"/>
    <w:qFormat/>
    <w:rsid w:val="0079374D"/>
    <w:pPr>
      <w:numPr>
        <w:numId w:val="37"/>
      </w:numPr>
      <w:spacing w:after="180"/>
      <w:ind w:left="1440" w:hanging="720"/>
      <w:jc w:val="both"/>
    </w:pPr>
  </w:style>
  <w:style w:type="paragraph" w:customStyle="1" w:styleId="wBullet2">
    <w:name w:val="wBullet2"/>
    <w:basedOn w:val="Normal"/>
    <w:uiPriority w:val="8"/>
    <w:qFormat/>
    <w:rsid w:val="0079374D"/>
    <w:pPr>
      <w:numPr>
        <w:numId w:val="38"/>
      </w:numPr>
      <w:spacing w:after="180"/>
      <w:ind w:left="2160" w:hanging="720"/>
      <w:jc w:val="both"/>
    </w:pPr>
  </w:style>
  <w:style w:type="paragraph" w:customStyle="1" w:styleId="wBullet3">
    <w:name w:val="wBullet3"/>
    <w:basedOn w:val="Normal"/>
    <w:uiPriority w:val="8"/>
    <w:qFormat/>
    <w:rsid w:val="0079374D"/>
    <w:pPr>
      <w:numPr>
        <w:numId w:val="39"/>
      </w:numPr>
      <w:spacing w:after="180"/>
      <w:ind w:left="2880" w:hanging="720"/>
      <w:jc w:val="both"/>
    </w:pPr>
  </w:style>
  <w:style w:type="paragraph" w:customStyle="1" w:styleId="DraftLineWC">
    <w:name w:val="DraftLineW&amp;C"/>
    <w:basedOn w:val="Normal"/>
    <w:uiPriority w:val="99"/>
    <w:semiHidden/>
    <w:rsid w:val="00BE2177"/>
    <w:pPr>
      <w:framePr w:w="5328" w:hSpace="187" w:vSpace="187" w:wrap="around" w:vAnchor="page" w:hAnchor="page" w:x="5761" w:y="721"/>
      <w:jc w:val="right"/>
    </w:pPr>
    <w:rPr>
      <w:rFonts w:eastAsia="Times New Roman"/>
      <w:sz w:val="20"/>
      <w:szCs w:val="24"/>
    </w:rPr>
  </w:style>
  <w:style w:type="paragraph" w:styleId="TOC1">
    <w:name w:val="toc 1"/>
    <w:basedOn w:val="Normal"/>
    <w:next w:val="Normal"/>
    <w:autoRedefine/>
    <w:uiPriority w:val="39"/>
    <w:rsid w:val="00BE2177"/>
    <w:pPr>
      <w:tabs>
        <w:tab w:val="left" w:pos="720"/>
        <w:tab w:val="right" w:leader="dot" w:pos="9072"/>
      </w:tabs>
      <w:spacing w:before="120"/>
      <w:ind w:left="720" w:right="386" w:hanging="720"/>
    </w:pPr>
  </w:style>
  <w:style w:type="paragraph" w:styleId="TOC2">
    <w:name w:val="toc 2"/>
    <w:basedOn w:val="Normal"/>
    <w:next w:val="Normal"/>
    <w:autoRedefine/>
    <w:uiPriority w:val="39"/>
    <w:rsid w:val="00BE2177"/>
    <w:pPr>
      <w:tabs>
        <w:tab w:val="left" w:pos="720"/>
        <w:tab w:val="right" w:leader="dot" w:pos="9072"/>
      </w:tabs>
      <w:snapToGrid w:val="0"/>
      <w:ind w:left="720" w:right="386" w:hanging="720"/>
      <w:contextualSpacing/>
    </w:pPr>
  </w:style>
  <w:style w:type="paragraph" w:customStyle="1" w:styleId="Definition1">
    <w:name w:val="Definition 1"/>
    <w:basedOn w:val="Normal"/>
    <w:uiPriority w:val="2"/>
    <w:qFormat/>
    <w:rsid w:val="00BE2177"/>
    <w:pPr>
      <w:numPr>
        <w:numId w:val="35"/>
      </w:numPr>
      <w:spacing w:after="180"/>
      <w:jc w:val="both"/>
    </w:pPr>
  </w:style>
  <w:style w:type="paragraph" w:customStyle="1" w:styleId="Definition2">
    <w:name w:val="Definition 2"/>
    <w:basedOn w:val="Normal"/>
    <w:uiPriority w:val="2"/>
    <w:qFormat/>
    <w:rsid w:val="00BE2177"/>
    <w:pPr>
      <w:numPr>
        <w:ilvl w:val="1"/>
        <w:numId w:val="35"/>
      </w:numPr>
      <w:spacing w:after="180"/>
      <w:jc w:val="both"/>
    </w:pPr>
  </w:style>
  <w:style w:type="paragraph" w:customStyle="1" w:styleId="Definition3">
    <w:name w:val="Definition 3"/>
    <w:basedOn w:val="Normal"/>
    <w:uiPriority w:val="2"/>
    <w:qFormat/>
    <w:rsid w:val="00BE2177"/>
    <w:pPr>
      <w:numPr>
        <w:ilvl w:val="2"/>
        <w:numId w:val="35"/>
      </w:numPr>
      <w:spacing w:after="180"/>
      <w:jc w:val="both"/>
    </w:pPr>
  </w:style>
  <w:style w:type="paragraph" w:customStyle="1" w:styleId="Definition4">
    <w:name w:val="Definition 4"/>
    <w:basedOn w:val="Normal"/>
    <w:uiPriority w:val="2"/>
    <w:qFormat/>
    <w:rsid w:val="00BE2177"/>
    <w:pPr>
      <w:numPr>
        <w:ilvl w:val="3"/>
        <w:numId w:val="35"/>
      </w:numPr>
      <w:spacing w:after="180"/>
      <w:jc w:val="both"/>
    </w:pPr>
  </w:style>
  <w:style w:type="paragraph" w:customStyle="1" w:styleId="Definition5">
    <w:name w:val="Definition 5"/>
    <w:basedOn w:val="Normal"/>
    <w:uiPriority w:val="2"/>
    <w:qFormat/>
    <w:rsid w:val="00BE2177"/>
    <w:pPr>
      <w:numPr>
        <w:ilvl w:val="4"/>
        <w:numId w:val="35"/>
      </w:numPr>
      <w:spacing w:after="180"/>
      <w:jc w:val="both"/>
    </w:pPr>
  </w:style>
  <w:style w:type="paragraph" w:customStyle="1" w:styleId="Definition6">
    <w:name w:val="Definition 6"/>
    <w:basedOn w:val="Normal"/>
    <w:uiPriority w:val="2"/>
    <w:qFormat/>
    <w:rsid w:val="00BE2177"/>
    <w:pPr>
      <w:numPr>
        <w:ilvl w:val="5"/>
        <w:numId w:val="35"/>
      </w:numPr>
      <w:spacing w:after="180"/>
      <w:jc w:val="both"/>
    </w:pPr>
  </w:style>
  <w:style w:type="paragraph" w:customStyle="1" w:styleId="Parties">
    <w:name w:val="Parties"/>
    <w:basedOn w:val="Normal"/>
    <w:uiPriority w:val="2"/>
    <w:qFormat/>
    <w:rsid w:val="00BE2177"/>
    <w:pPr>
      <w:numPr>
        <w:ilvl w:val="7"/>
        <w:numId w:val="35"/>
      </w:numPr>
      <w:spacing w:after="180"/>
      <w:jc w:val="both"/>
    </w:pPr>
  </w:style>
  <w:style w:type="paragraph" w:customStyle="1" w:styleId="Recitals">
    <w:name w:val="Recitals"/>
    <w:basedOn w:val="Normal"/>
    <w:uiPriority w:val="2"/>
    <w:qFormat/>
    <w:rsid w:val="00BE2177"/>
    <w:pPr>
      <w:numPr>
        <w:ilvl w:val="8"/>
        <w:numId w:val="35"/>
      </w:numPr>
      <w:spacing w:after="180"/>
      <w:jc w:val="both"/>
    </w:pPr>
  </w:style>
  <w:style w:type="paragraph" w:customStyle="1" w:styleId="wCoverNotice">
    <w:name w:val="wCoverNotice"/>
    <w:basedOn w:val="Normal"/>
    <w:next w:val="Normal"/>
    <w:uiPriority w:val="19"/>
    <w:rsid w:val="00BE2177"/>
    <w:pPr>
      <w:spacing w:after="960"/>
      <w:ind w:left="720" w:right="720"/>
      <w:jc w:val="center"/>
    </w:pPr>
    <w:rPr>
      <w:rFonts w:eastAsia="Times New Roman"/>
      <w:szCs w:val="24"/>
    </w:rPr>
  </w:style>
  <w:style w:type="paragraph" w:customStyle="1" w:styleId="wCoverParties">
    <w:name w:val="wCoverParties"/>
    <w:basedOn w:val="Normal"/>
    <w:next w:val="wCoverRole"/>
    <w:uiPriority w:val="20"/>
    <w:qFormat/>
    <w:rsid w:val="00BE2177"/>
    <w:pPr>
      <w:jc w:val="center"/>
    </w:pPr>
    <w:rPr>
      <w:b/>
      <w:bCs/>
      <w:sz w:val="28"/>
      <w:szCs w:val="32"/>
    </w:rPr>
  </w:style>
  <w:style w:type="paragraph" w:customStyle="1" w:styleId="wSignRole">
    <w:name w:val="wSignRole"/>
    <w:basedOn w:val="Normal"/>
    <w:uiPriority w:val="12"/>
    <w:qFormat/>
    <w:rsid w:val="00BE2177"/>
    <w:pPr>
      <w:spacing w:before="600" w:after="60"/>
    </w:pPr>
    <w:rPr>
      <w:b/>
      <w:bCs/>
    </w:rPr>
  </w:style>
  <w:style w:type="paragraph" w:customStyle="1" w:styleId="wCoverCenter">
    <w:name w:val="wCoverCenter"/>
    <w:basedOn w:val="Normal"/>
    <w:next w:val="wCoverParties"/>
    <w:uiPriority w:val="19"/>
    <w:qFormat/>
    <w:rsid w:val="00BE2177"/>
    <w:pPr>
      <w:spacing w:after="480"/>
      <w:jc w:val="center"/>
    </w:pPr>
  </w:style>
  <w:style w:type="paragraph" w:customStyle="1" w:styleId="wCoverTitle2">
    <w:name w:val="wCoverTitle2"/>
    <w:basedOn w:val="Normal"/>
    <w:next w:val="wCoverCenter"/>
    <w:uiPriority w:val="19"/>
    <w:rsid w:val="00BE2177"/>
    <w:pPr>
      <w:spacing w:after="240"/>
      <w:jc w:val="center"/>
    </w:pPr>
    <w:rPr>
      <w:sz w:val="28"/>
      <w:szCs w:val="32"/>
    </w:rPr>
  </w:style>
  <w:style w:type="paragraph" w:customStyle="1" w:styleId="wLogoHeader">
    <w:name w:val="wLogoHeader"/>
    <w:basedOn w:val="Normal"/>
    <w:uiPriority w:val="48"/>
    <w:qFormat/>
    <w:rsid w:val="00BE2177"/>
    <w:pPr>
      <w:spacing w:before="360" w:after="960" w:line="360" w:lineRule="auto"/>
      <w:jc w:val="right"/>
    </w:pPr>
  </w:style>
  <w:style w:type="paragraph" w:customStyle="1" w:styleId="wCoverAddress">
    <w:name w:val="wCoverAddress"/>
    <w:basedOn w:val="Normal"/>
    <w:uiPriority w:val="22"/>
    <w:rsid w:val="00BE2177"/>
    <w:pPr>
      <w:jc w:val="center"/>
    </w:pPr>
    <w:rPr>
      <w:rFonts w:eastAsia="Times New Roman"/>
      <w:sz w:val="20"/>
      <w:szCs w:val="24"/>
    </w:rPr>
  </w:style>
  <w:style w:type="numbering" w:styleId="111111">
    <w:name w:val="Outline List 2"/>
    <w:basedOn w:val="NoList"/>
    <w:uiPriority w:val="99"/>
    <w:semiHidden/>
    <w:unhideWhenUsed/>
    <w:rsid w:val="00BE2177"/>
    <w:pPr>
      <w:numPr>
        <w:numId w:val="5"/>
      </w:numPr>
    </w:pPr>
  </w:style>
  <w:style w:type="numbering" w:styleId="1ai">
    <w:name w:val="Outline List 1"/>
    <w:basedOn w:val="NoList"/>
    <w:uiPriority w:val="99"/>
    <w:semiHidden/>
    <w:unhideWhenUsed/>
    <w:rsid w:val="00BE2177"/>
    <w:pPr>
      <w:numPr>
        <w:numId w:val="6"/>
      </w:numPr>
    </w:pPr>
  </w:style>
  <w:style w:type="paragraph" w:customStyle="1" w:styleId="wTOCtitle">
    <w:name w:val="wTOCtitle"/>
    <w:basedOn w:val="Normal"/>
    <w:next w:val="wTOCpage"/>
    <w:uiPriority w:val="13"/>
    <w:rsid w:val="00BE2177"/>
    <w:pPr>
      <w:jc w:val="center"/>
    </w:pPr>
    <w:rPr>
      <w:b/>
      <w:bCs/>
      <w:sz w:val="26"/>
      <w:szCs w:val="30"/>
    </w:rPr>
  </w:style>
  <w:style w:type="paragraph" w:customStyle="1" w:styleId="wTOCpage">
    <w:name w:val="wTOCpage"/>
    <w:basedOn w:val="Normal"/>
    <w:next w:val="Normal"/>
    <w:uiPriority w:val="15"/>
    <w:rsid w:val="00BE2177"/>
    <w:pPr>
      <w:spacing w:after="180"/>
      <w:jc w:val="right"/>
    </w:pPr>
    <w:rPr>
      <w:rFonts w:eastAsia="Times New Roman"/>
      <w:b/>
      <w:szCs w:val="21"/>
    </w:rPr>
  </w:style>
  <w:style w:type="paragraph" w:customStyle="1" w:styleId="wSignLine">
    <w:name w:val="wSignLine"/>
    <w:basedOn w:val="wText"/>
    <w:next w:val="Normal"/>
    <w:uiPriority w:val="13"/>
    <w:rsid w:val="00BE2177"/>
    <w:pPr>
      <w:tabs>
        <w:tab w:val="left" w:leader="dot" w:pos="3600"/>
      </w:tabs>
      <w:spacing w:before="800" w:after="0"/>
    </w:pPr>
    <w:rPr>
      <w:rFonts w:eastAsia="Times New Roman"/>
      <w:szCs w:val="20"/>
    </w:rPr>
  </w:style>
  <w:style w:type="paragraph" w:styleId="TOC3">
    <w:name w:val="toc 3"/>
    <w:basedOn w:val="Normal"/>
    <w:next w:val="Normal"/>
    <w:autoRedefine/>
    <w:uiPriority w:val="39"/>
    <w:rsid w:val="00BE2177"/>
    <w:pPr>
      <w:tabs>
        <w:tab w:val="left" w:pos="1440"/>
        <w:tab w:val="right" w:leader="dot" w:pos="9072"/>
      </w:tabs>
      <w:ind w:left="1440" w:right="386" w:hanging="720"/>
    </w:pPr>
    <w:rPr>
      <w:noProof/>
      <w:color w:val="000000" w:themeColor="text1"/>
    </w:rPr>
  </w:style>
  <w:style w:type="paragraph" w:styleId="TOC4">
    <w:name w:val="toc 4"/>
    <w:basedOn w:val="Normal"/>
    <w:next w:val="Normal"/>
    <w:autoRedefine/>
    <w:uiPriority w:val="39"/>
    <w:unhideWhenUsed/>
    <w:rsid w:val="00BE2177"/>
    <w:pPr>
      <w:tabs>
        <w:tab w:val="left" w:pos="1440"/>
        <w:tab w:val="right" w:leader="dot" w:pos="9080"/>
      </w:tabs>
      <w:ind w:left="1440" w:right="386" w:hanging="720"/>
    </w:pPr>
  </w:style>
  <w:style w:type="paragraph" w:styleId="TOC5">
    <w:name w:val="toc 5"/>
    <w:basedOn w:val="Normal"/>
    <w:next w:val="Normal"/>
    <w:autoRedefine/>
    <w:uiPriority w:val="39"/>
    <w:semiHidden/>
    <w:unhideWhenUsed/>
    <w:rsid w:val="00BE2177"/>
    <w:pPr>
      <w:spacing w:after="100"/>
      <w:ind w:left="960"/>
    </w:pPr>
  </w:style>
  <w:style w:type="paragraph" w:styleId="TOC6">
    <w:name w:val="toc 6"/>
    <w:basedOn w:val="Normal"/>
    <w:next w:val="Normal"/>
    <w:autoRedefine/>
    <w:uiPriority w:val="39"/>
    <w:semiHidden/>
    <w:unhideWhenUsed/>
    <w:rsid w:val="00BE2177"/>
    <w:pPr>
      <w:spacing w:after="100"/>
      <w:ind w:left="1200"/>
    </w:pPr>
  </w:style>
  <w:style w:type="paragraph" w:styleId="TOC7">
    <w:name w:val="toc 7"/>
    <w:basedOn w:val="Normal"/>
    <w:next w:val="Normal"/>
    <w:autoRedefine/>
    <w:uiPriority w:val="39"/>
    <w:semiHidden/>
    <w:unhideWhenUsed/>
    <w:rsid w:val="00BE2177"/>
    <w:pPr>
      <w:spacing w:after="100"/>
      <w:ind w:left="1440"/>
    </w:pPr>
  </w:style>
  <w:style w:type="paragraph" w:styleId="TOC8">
    <w:name w:val="toc 8"/>
    <w:basedOn w:val="Normal"/>
    <w:next w:val="Normal"/>
    <w:autoRedefine/>
    <w:uiPriority w:val="39"/>
    <w:rsid w:val="00BE2177"/>
    <w:pPr>
      <w:tabs>
        <w:tab w:val="left" w:pos="1423"/>
        <w:tab w:val="right" w:leader="dot" w:pos="9072"/>
      </w:tabs>
      <w:spacing w:before="120"/>
      <w:ind w:left="1440" w:right="386" w:hanging="1440"/>
    </w:pPr>
    <w:rPr>
      <w:b/>
      <w:bCs/>
    </w:rPr>
  </w:style>
  <w:style w:type="paragraph" w:styleId="TOC9">
    <w:name w:val="toc 9"/>
    <w:basedOn w:val="Normal"/>
    <w:next w:val="Normal"/>
    <w:autoRedefine/>
    <w:uiPriority w:val="39"/>
    <w:rsid w:val="00BE2177"/>
    <w:pPr>
      <w:tabs>
        <w:tab w:val="left" w:pos="1440"/>
        <w:tab w:val="right" w:leader="dot" w:pos="9072"/>
      </w:tabs>
      <w:ind w:left="1440" w:right="386" w:hanging="1440"/>
    </w:pPr>
  </w:style>
  <w:style w:type="paragraph" w:customStyle="1" w:styleId="wCoverRole">
    <w:name w:val="wCoverRole"/>
    <w:basedOn w:val="Normal"/>
    <w:next w:val="wCoverParties"/>
    <w:uiPriority w:val="21"/>
    <w:qFormat/>
    <w:rsid w:val="00BE2177"/>
    <w:pPr>
      <w:spacing w:after="480"/>
      <w:jc w:val="center"/>
    </w:pPr>
  </w:style>
  <w:style w:type="paragraph" w:customStyle="1" w:styleId="wBullet4">
    <w:name w:val="wBullet4"/>
    <w:basedOn w:val="Normal"/>
    <w:uiPriority w:val="8"/>
    <w:qFormat/>
    <w:rsid w:val="0079374D"/>
    <w:pPr>
      <w:numPr>
        <w:numId w:val="40"/>
      </w:numPr>
      <w:spacing w:after="180"/>
      <w:ind w:left="3600" w:hanging="720"/>
      <w:jc w:val="both"/>
    </w:pPr>
  </w:style>
  <w:style w:type="paragraph" w:customStyle="1" w:styleId="wText4">
    <w:name w:val="wText4"/>
    <w:basedOn w:val="Normal"/>
    <w:uiPriority w:val="1"/>
    <w:qFormat/>
    <w:rsid w:val="00BE2177"/>
    <w:pPr>
      <w:spacing w:after="180"/>
      <w:ind w:left="2880"/>
      <w:jc w:val="both"/>
    </w:pPr>
  </w:style>
  <w:style w:type="character" w:styleId="FootnoteReference">
    <w:name w:val="footnote reference"/>
    <w:basedOn w:val="DefaultParagraphFont"/>
    <w:uiPriority w:val="99"/>
    <w:semiHidden/>
    <w:unhideWhenUsed/>
    <w:rsid w:val="00BE2177"/>
    <w:rPr>
      <w:vertAlign w:val="superscript"/>
    </w:rPr>
  </w:style>
  <w:style w:type="paragraph" w:styleId="FootnoteText">
    <w:name w:val="footnote text"/>
    <w:basedOn w:val="Normal"/>
    <w:link w:val="FootnoteTextChar"/>
    <w:uiPriority w:val="99"/>
    <w:unhideWhenUsed/>
    <w:rsid w:val="00BE2177"/>
    <w:pPr>
      <w:spacing w:after="60"/>
      <w:ind w:left="357" w:hanging="357"/>
      <w:jc w:val="both"/>
    </w:pPr>
    <w:rPr>
      <w:sz w:val="18"/>
      <w:szCs w:val="20"/>
    </w:rPr>
  </w:style>
  <w:style w:type="character" w:customStyle="1" w:styleId="FootnoteTextChar">
    <w:name w:val="Footnote Text Char"/>
    <w:basedOn w:val="DefaultParagraphFont"/>
    <w:link w:val="FootnoteText"/>
    <w:uiPriority w:val="99"/>
    <w:rsid w:val="00BE2177"/>
    <w:rPr>
      <w:rFonts w:ascii="Times New Roman" w:eastAsia="MS Mincho" w:hAnsi="Times New Roman" w:cs="Times New Roman"/>
      <w:sz w:val="18"/>
      <w:szCs w:val="20"/>
    </w:rPr>
  </w:style>
  <w:style w:type="paragraph" w:customStyle="1" w:styleId="SignLine">
    <w:name w:val="SignLine"/>
    <w:basedOn w:val="Normal"/>
    <w:next w:val="Normal"/>
    <w:rsid w:val="00E03967"/>
    <w:pPr>
      <w:tabs>
        <w:tab w:val="left" w:leader="dot" w:pos="3600"/>
      </w:tabs>
      <w:spacing w:before="800"/>
      <w:jc w:val="both"/>
    </w:pPr>
    <w:rPr>
      <w:rFonts w:eastAsia="Times New Roman"/>
      <w:szCs w:val="20"/>
    </w:rPr>
  </w:style>
  <w:style w:type="table" w:styleId="TableGrid">
    <w:name w:val="Table Grid"/>
    <w:basedOn w:val="TableNormal"/>
    <w:uiPriority w:val="59"/>
    <w:rsid w:val="00BE2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2177"/>
    <w:rPr>
      <w:color w:val="0000FF" w:themeColor="hyperlink"/>
      <w:u w:val="single"/>
    </w:rPr>
  </w:style>
  <w:style w:type="paragraph" w:customStyle="1" w:styleId="wSignTitle">
    <w:name w:val="wSignTitle"/>
    <w:basedOn w:val="Normal"/>
    <w:next w:val="wText"/>
    <w:uiPriority w:val="11"/>
    <w:qFormat/>
    <w:rsid w:val="00BE2177"/>
    <w:pPr>
      <w:keepNext/>
      <w:keepLines/>
      <w:pageBreakBefore/>
      <w:jc w:val="both"/>
    </w:pPr>
    <w:rPr>
      <w:rFonts w:eastAsia="Times New Roman"/>
      <w:b/>
      <w:sz w:val="26"/>
      <w:szCs w:val="24"/>
    </w:rPr>
  </w:style>
  <w:style w:type="character" w:customStyle="1" w:styleId="wTextChar">
    <w:name w:val="wText Char"/>
    <w:basedOn w:val="DefaultParagraphFont"/>
    <w:link w:val="wText"/>
    <w:uiPriority w:val="1"/>
    <w:rsid w:val="00BE2177"/>
    <w:rPr>
      <w:rFonts w:ascii="Times New Roman" w:eastAsia="MS Mincho" w:hAnsi="Times New Roman" w:cs="Times New Roman"/>
    </w:rPr>
  </w:style>
  <w:style w:type="paragraph" w:customStyle="1" w:styleId="wAnnotation">
    <w:name w:val="wAnnotation"/>
    <w:basedOn w:val="Normal"/>
    <w:next w:val="wText"/>
    <w:uiPriority w:val="10"/>
    <w:rsid w:val="00BE2177"/>
    <w:pPr>
      <w:keepNext/>
      <w:keepLines/>
      <w:framePr w:w="1152" w:hSpace="144" w:wrap="around" w:vAnchor="text" w:hAnchor="page" w:xAlign="right" w:y="1"/>
      <w:spacing w:before="40" w:line="180" w:lineRule="exact"/>
    </w:pPr>
    <w:rPr>
      <w:rFonts w:eastAsia="Times New Roman"/>
      <w:b/>
      <w:sz w:val="14"/>
      <w:szCs w:val="16"/>
      <w:lang w:val="en-GB"/>
    </w:rPr>
  </w:style>
  <w:style w:type="paragraph" w:customStyle="1" w:styleId="wCoverTitle1">
    <w:name w:val="wCoverTitle1"/>
    <w:basedOn w:val="Normal"/>
    <w:next w:val="wCoverTitle2"/>
    <w:uiPriority w:val="19"/>
    <w:qFormat/>
    <w:rsid w:val="00BE2177"/>
    <w:pPr>
      <w:spacing w:after="120"/>
      <w:jc w:val="center"/>
    </w:pPr>
    <w:rPr>
      <w:b/>
      <w:bCs/>
      <w:sz w:val="40"/>
      <w:szCs w:val="44"/>
    </w:rPr>
  </w:style>
  <w:style w:type="paragraph" w:customStyle="1" w:styleId="wCoverDate">
    <w:name w:val="wCoverDate"/>
    <w:basedOn w:val="Normal"/>
    <w:next w:val="wCoverTitle1"/>
    <w:uiPriority w:val="19"/>
    <w:qFormat/>
    <w:rsid w:val="00BE2177"/>
    <w:pPr>
      <w:spacing w:before="480" w:after="960"/>
      <w:jc w:val="center"/>
    </w:pPr>
    <w:rPr>
      <w:b/>
      <w:bCs/>
    </w:rPr>
  </w:style>
  <w:style w:type="paragraph" w:customStyle="1" w:styleId="wSignName">
    <w:name w:val="wSignName"/>
    <w:basedOn w:val="Normal"/>
    <w:next w:val="wSignNameLine"/>
    <w:uiPriority w:val="11"/>
    <w:qFormat/>
    <w:rsid w:val="00BE2177"/>
    <w:pPr>
      <w:spacing w:before="600" w:after="60"/>
    </w:pPr>
  </w:style>
  <w:style w:type="paragraph" w:customStyle="1" w:styleId="wSignNameLine">
    <w:name w:val="wSignNameLine"/>
    <w:basedOn w:val="Normal"/>
    <w:next w:val="Normal"/>
    <w:uiPriority w:val="11"/>
    <w:qFormat/>
    <w:rsid w:val="00BE2177"/>
    <w:pPr>
      <w:tabs>
        <w:tab w:val="right" w:leader="underscore" w:pos="4253"/>
      </w:tabs>
      <w:spacing w:before="600"/>
    </w:pPr>
  </w:style>
  <w:style w:type="paragraph" w:customStyle="1" w:styleId="wExecution">
    <w:name w:val="wExecution"/>
    <w:basedOn w:val="Normal"/>
    <w:uiPriority w:val="13"/>
    <w:qFormat/>
    <w:rsid w:val="00BE2177"/>
    <w:pPr>
      <w:tabs>
        <w:tab w:val="left" w:pos="567"/>
      </w:tabs>
      <w:ind w:left="56"/>
    </w:pPr>
  </w:style>
  <w:style w:type="paragraph" w:customStyle="1" w:styleId="Definition7">
    <w:name w:val="Definition 7"/>
    <w:basedOn w:val="Normal"/>
    <w:uiPriority w:val="2"/>
    <w:qFormat/>
    <w:rsid w:val="00BE2177"/>
    <w:pPr>
      <w:numPr>
        <w:ilvl w:val="6"/>
        <w:numId w:val="35"/>
      </w:numPr>
      <w:spacing w:after="180"/>
      <w:jc w:val="both"/>
    </w:pPr>
  </w:style>
  <w:style w:type="paragraph" w:customStyle="1" w:styleId="wList1">
    <w:name w:val="wList1"/>
    <w:basedOn w:val="Normal"/>
    <w:uiPriority w:val="7"/>
    <w:qFormat/>
    <w:rsid w:val="00BE2177"/>
    <w:pPr>
      <w:numPr>
        <w:numId w:val="47"/>
      </w:numPr>
      <w:spacing w:after="180"/>
      <w:jc w:val="both"/>
    </w:pPr>
  </w:style>
  <w:style w:type="paragraph" w:customStyle="1" w:styleId="wList2">
    <w:name w:val="wList2"/>
    <w:basedOn w:val="Normal"/>
    <w:uiPriority w:val="7"/>
    <w:qFormat/>
    <w:rsid w:val="00BE2177"/>
    <w:pPr>
      <w:numPr>
        <w:ilvl w:val="1"/>
        <w:numId w:val="47"/>
      </w:numPr>
      <w:spacing w:after="180"/>
      <w:jc w:val="both"/>
    </w:pPr>
  </w:style>
  <w:style w:type="paragraph" w:customStyle="1" w:styleId="wList3">
    <w:name w:val="wList3"/>
    <w:basedOn w:val="Normal"/>
    <w:uiPriority w:val="7"/>
    <w:qFormat/>
    <w:rsid w:val="00BE2177"/>
    <w:pPr>
      <w:numPr>
        <w:ilvl w:val="2"/>
        <w:numId w:val="47"/>
      </w:numPr>
      <w:spacing w:after="180"/>
      <w:jc w:val="both"/>
    </w:pPr>
  </w:style>
  <w:style w:type="paragraph" w:customStyle="1" w:styleId="wList4">
    <w:name w:val="wList4"/>
    <w:basedOn w:val="Normal"/>
    <w:uiPriority w:val="7"/>
    <w:qFormat/>
    <w:rsid w:val="00BE2177"/>
    <w:pPr>
      <w:numPr>
        <w:ilvl w:val="3"/>
        <w:numId w:val="47"/>
      </w:numPr>
      <w:spacing w:after="180"/>
      <w:jc w:val="both"/>
    </w:pPr>
  </w:style>
  <w:style w:type="paragraph" w:customStyle="1" w:styleId="wList5">
    <w:name w:val="wList5"/>
    <w:basedOn w:val="Normal"/>
    <w:uiPriority w:val="7"/>
    <w:qFormat/>
    <w:rsid w:val="00BE2177"/>
    <w:pPr>
      <w:numPr>
        <w:ilvl w:val="4"/>
        <w:numId w:val="47"/>
      </w:numPr>
      <w:spacing w:after="180"/>
      <w:jc w:val="both"/>
    </w:pPr>
  </w:style>
  <w:style w:type="paragraph" w:customStyle="1" w:styleId="wList6">
    <w:name w:val="wList6"/>
    <w:basedOn w:val="Normal"/>
    <w:uiPriority w:val="7"/>
    <w:qFormat/>
    <w:rsid w:val="00BE2177"/>
    <w:pPr>
      <w:numPr>
        <w:ilvl w:val="5"/>
        <w:numId w:val="47"/>
      </w:numPr>
      <w:spacing w:after="180"/>
      <w:jc w:val="both"/>
    </w:pPr>
  </w:style>
  <w:style w:type="paragraph" w:customStyle="1" w:styleId="wList7">
    <w:name w:val="wList7"/>
    <w:basedOn w:val="Normal"/>
    <w:uiPriority w:val="7"/>
    <w:qFormat/>
    <w:rsid w:val="00BE2177"/>
    <w:pPr>
      <w:numPr>
        <w:ilvl w:val="6"/>
        <w:numId w:val="47"/>
      </w:numPr>
      <w:spacing w:after="180"/>
      <w:jc w:val="both"/>
    </w:pPr>
  </w:style>
  <w:style w:type="paragraph" w:customStyle="1" w:styleId="wNoTOC">
    <w:name w:val="wNoTOC"/>
    <w:basedOn w:val="Normal"/>
    <w:next w:val="wText1"/>
    <w:uiPriority w:val="18"/>
    <w:qFormat/>
    <w:rsid w:val="00CF5469"/>
    <w:pPr>
      <w:spacing w:after="180"/>
      <w:jc w:val="both"/>
    </w:pPr>
    <w:rPr>
      <w:rFonts w:eastAsiaTheme="minorHAnsi" w:cstheme="minorBidi"/>
    </w:rPr>
  </w:style>
  <w:style w:type="paragraph" w:customStyle="1" w:styleId="FooterSupressDocId">
    <w:name w:val="FooterSupressDocId"/>
    <w:basedOn w:val="Footer"/>
    <w:link w:val="FooterSupressDocIdChar"/>
    <w:rsid w:val="00C048A6"/>
  </w:style>
  <w:style w:type="character" w:customStyle="1" w:styleId="FooterSupressDocIdChar">
    <w:name w:val="FooterSupressDocId Char"/>
    <w:basedOn w:val="FooterChar"/>
    <w:link w:val="FooterSupressDocId"/>
    <w:rsid w:val="00C048A6"/>
    <w:rPr>
      <w:rFonts w:ascii="Times New Roman" w:eastAsia="Times New Roman" w:hAnsi="Times New Roman" w:cs="Times New Roman"/>
      <w:sz w:val="16"/>
      <w:szCs w:val="20"/>
      <w:lang w:eastAsia="de-DE"/>
    </w:rPr>
  </w:style>
  <w:style w:type="paragraph" w:styleId="NormalWeb">
    <w:name w:val="Normal (Web)"/>
    <w:basedOn w:val="Normal"/>
    <w:uiPriority w:val="99"/>
    <w:unhideWhenUsed/>
    <w:rsid w:val="005F0069"/>
    <w:rPr>
      <w:sz w:val="24"/>
      <w:szCs w:val="24"/>
    </w:rPr>
  </w:style>
  <w:style w:type="paragraph" w:styleId="ListParagraph">
    <w:name w:val="List Paragraph"/>
    <w:basedOn w:val="Normal"/>
    <w:uiPriority w:val="43"/>
    <w:qFormat/>
    <w:rsid w:val="001428AE"/>
    <w:pPr>
      <w:ind w:left="720"/>
      <w:contextualSpacing/>
    </w:pPr>
  </w:style>
  <w:style w:type="character" w:styleId="CommentReference">
    <w:name w:val="annotation reference"/>
    <w:basedOn w:val="DefaultParagraphFont"/>
    <w:uiPriority w:val="99"/>
    <w:semiHidden/>
    <w:unhideWhenUsed/>
    <w:rsid w:val="00363389"/>
    <w:rPr>
      <w:sz w:val="16"/>
      <w:szCs w:val="16"/>
    </w:rPr>
  </w:style>
  <w:style w:type="paragraph" w:styleId="CommentText">
    <w:name w:val="annotation text"/>
    <w:basedOn w:val="Normal"/>
    <w:link w:val="CommentTextChar"/>
    <w:uiPriority w:val="99"/>
    <w:unhideWhenUsed/>
    <w:rsid w:val="00363389"/>
    <w:rPr>
      <w:sz w:val="20"/>
      <w:szCs w:val="20"/>
    </w:rPr>
  </w:style>
  <w:style w:type="character" w:customStyle="1" w:styleId="CommentTextChar">
    <w:name w:val="Comment Text Char"/>
    <w:basedOn w:val="DefaultParagraphFont"/>
    <w:link w:val="CommentText"/>
    <w:uiPriority w:val="99"/>
    <w:rsid w:val="00363389"/>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3389"/>
    <w:rPr>
      <w:b/>
      <w:bCs/>
    </w:rPr>
  </w:style>
  <w:style w:type="character" w:customStyle="1" w:styleId="CommentSubjectChar">
    <w:name w:val="Comment Subject Char"/>
    <w:basedOn w:val="CommentTextChar"/>
    <w:link w:val="CommentSubject"/>
    <w:uiPriority w:val="99"/>
    <w:semiHidden/>
    <w:rsid w:val="00363389"/>
    <w:rPr>
      <w:rFonts w:ascii="Times New Roman" w:eastAsia="MS Mincho"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08249">
      <w:bodyDiv w:val="1"/>
      <w:marLeft w:val="0"/>
      <w:marRight w:val="0"/>
      <w:marTop w:val="0"/>
      <w:marBottom w:val="0"/>
      <w:divBdr>
        <w:top w:val="none" w:sz="0" w:space="0" w:color="auto"/>
        <w:left w:val="none" w:sz="0" w:space="0" w:color="auto"/>
        <w:bottom w:val="none" w:sz="0" w:space="0" w:color="auto"/>
        <w:right w:val="none" w:sz="0" w:space="0" w:color="auto"/>
      </w:divBdr>
    </w:div>
    <w:div w:id="160195240">
      <w:bodyDiv w:val="1"/>
      <w:marLeft w:val="0"/>
      <w:marRight w:val="0"/>
      <w:marTop w:val="0"/>
      <w:marBottom w:val="0"/>
      <w:divBdr>
        <w:top w:val="none" w:sz="0" w:space="0" w:color="auto"/>
        <w:left w:val="none" w:sz="0" w:space="0" w:color="auto"/>
        <w:bottom w:val="none" w:sz="0" w:space="0" w:color="auto"/>
        <w:right w:val="none" w:sz="0" w:space="0" w:color="auto"/>
      </w:divBdr>
    </w:div>
    <w:div w:id="317270266">
      <w:bodyDiv w:val="1"/>
      <w:marLeft w:val="0"/>
      <w:marRight w:val="0"/>
      <w:marTop w:val="0"/>
      <w:marBottom w:val="0"/>
      <w:divBdr>
        <w:top w:val="none" w:sz="0" w:space="0" w:color="auto"/>
        <w:left w:val="none" w:sz="0" w:space="0" w:color="auto"/>
        <w:bottom w:val="none" w:sz="0" w:space="0" w:color="auto"/>
        <w:right w:val="none" w:sz="0" w:space="0" w:color="auto"/>
      </w:divBdr>
    </w:div>
    <w:div w:id="473182324">
      <w:bodyDiv w:val="1"/>
      <w:marLeft w:val="0"/>
      <w:marRight w:val="0"/>
      <w:marTop w:val="0"/>
      <w:marBottom w:val="0"/>
      <w:divBdr>
        <w:top w:val="none" w:sz="0" w:space="0" w:color="auto"/>
        <w:left w:val="none" w:sz="0" w:space="0" w:color="auto"/>
        <w:bottom w:val="none" w:sz="0" w:space="0" w:color="auto"/>
        <w:right w:val="none" w:sz="0" w:space="0" w:color="auto"/>
      </w:divBdr>
    </w:div>
    <w:div w:id="805202618">
      <w:bodyDiv w:val="1"/>
      <w:marLeft w:val="0"/>
      <w:marRight w:val="0"/>
      <w:marTop w:val="0"/>
      <w:marBottom w:val="0"/>
      <w:divBdr>
        <w:top w:val="none" w:sz="0" w:space="0" w:color="auto"/>
        <w:left w:val="none" w:sz="0" w:space="0" w:color="auto"/>
        <w:bottom w:val="none" w:sz="0" w:space="0" w:color="auto"/>
        <w:right w:val="none" w:sz="0" w:space="0" w:color="auto"/>
      </w:divBdr>
    </w:div>
    <w:div w:id="1233000999">
      <w:bodyDiv w:val="1"/>
      <w:marLeft w:val="0"/>
      <w:marRight w:val="0"/>
      <w:marTop w:val="0"/>
      <w:marBottom w:val="0"/>
      <w:divBdr>
        <w:top w:val="none" w:sz="0" w:space="0" w:color="auto"/>
        <w:left w:val="none" w:sz="0" w:space="0" w:color="auto"/>
        <w:bottom w:val="none" w:sz="0" w:space="0" w:color="auto"/>
        <w:right w:val="none" w:sz="0" w:space="0" w:color="auto"/>
      </w:divBdr>
    </w:div>
    <w:div w:id="1253003387">
      <w:bodyDiv w:val="1"/>
      <w:marLeft w:val="0"/>
      <w:marRight w:val="0"/>
      <w:marTop w:val="0"/>
      <w:marBottom w:val="0"/>
      <w:divBdr>
        <w:top w:val="none" w:sz="0" w:space="0" w:color="auto"/>
        <w:left w:val="none" w:sz="0" w:space="0" w:color="auto"/>
        <w:bottom w:val="none" w:sz="0" w:space="0" w:color="auto"/>
        <w:right w:val="none" w:sz="0" w:space="0" w:color="auto"/>
      </w:divBdr>
    </w:div>
    <w:div w:id="1480996267">
      <w:bodyDiv w:val="1"/>
      <w:marLeft w:val="0"/>
      <w:marRight w:val="0"/>
      <w:marTop w:val="0"/>
      <w:marBottom w:val="0"/>
      <w:divBdr>
        <w:top w:val="none" w:sz="0" w:space="0" w:color="auto"/>
        <w:left w:val="none" w:sz="0" w:space="0" w:color="auto"/>
        <w:bottom w:val="none" w:sz="0" w:space="0" w:color="auto"/>
        <w:right w:val="none" w:sz="0" w:space="0" w:color="auto"/>
      </w:divBdr>
    </w:div>
    <w:div w:id="1858959301">
      <w:bodyDiv w:val="1"/>
      <w:marLeft w:val="0"/>
      <w:marRight w:val="0"/>
      <w:marTop w:val="0"/>
      <w:marBottom w:val="0"/>
      <w:divBdr>
        <w:top w:val="none" w:sz="0" w:space="0" w:color="auto"/>
        <w:left w:val="none" w:sz="0" w:space="0" w:color="auto"/>
        <w:bottom w:val="none" w:sz="0" w:space="0" w:color="auto"/>
        <w:right w:val="none" w:sz="0" w:space="0" w:color="auto"/>
      </w:divBdr>
    </w:div>
    <w:div w:id="197879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inshares-bidco.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hiteCase\Word\w00.11.HouseStyle.docx" TargetMode="External"/></Relationships>
</file>

<file path=word/theme/theme1.xml><?xml version="1.0" encoding="utf-8"?>
<a:theme xmlns:a="http://schemas.openxmlformats.org/drawingml/2006/main" name="Default Theme">
  <a:themeElements>
    <a:clrScheme name="White Rebrand Colors">
      <a:dk1>
        <a:srgbClr val="000000"/>
      </a:dk1>
      <a:lt1>
        <a:sysClr val="window" lastClr="FFFFFF"/>
      </a:lt1>
      <a:dk2>
        <a:srgbClr val="000000"/>
      </a:dk2>
      <a:lt2>
        <a:srgbClr val="FFFFFF"/>
      </a:lt2>
      <a:accent1>
        <a:srgbClr val="00A5D9"/>
      </a:accent1>
      <a:accent2>
        <a:srgbClr val="DCDDDE"/>
      </a:accent2>
      <a:accent3>
        <a:srgbClr val="46C0E5"/>
      </a:accent3>
      <a:accent4>
        <a:srgbClr val="AFB1B4"/>
      </a:accent4>
      <a:accent5>
        <a:srgbClr val="C5E7F7"/>
      </a:accent5>
      <a:accent6>
        <a:srgbClr val="808285"/>
      </a:accent6>
      <a:hlink>
        <a:srgbClr val="0000FF"/>
      </a:hlink>
      <a:folHlink>
        <a:srgbClr val="800080"/>
      </a:folHlink>
    </a:clrScheme>
    <a:fontScheme name="W&amp;C Standard">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headEnd type="none" w="med" len="med"/>
          <a:tailEnd type="none" w="med" len="med"/>
        </a:ln>
      </a:spPr>
      <a:bodyPr rot="0" spcFirstLastPara="0" vertOverflow="overflow" horzOverflow="overflow" vert="horz" wrap="square" lIns="0" tIns="45720" rIns="0" bIns="45720" numCol="1" spcCol="0" rtlCol="0" fromWordArt="0" anchor="ctr" anchorCtr="1" forceAA="0" compatLnSpc="1">
        <a:prstTxWarp prst="textNoShape">
          <a:avLst/>
        </a:prstTxWarp>
        <a:noAutofit/>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sz="1200" b="0" i="0" u="none" strike="noStrike" cap="none" normalizeH="0" baseline="0" dirty="0" smtClean="0">
            <a:ln>
              <a:noFill/>
            </a:ln>
            <a:solidFill>
              <a:schemeClr val="tx1"/>
            </a:solidFill>
            <a:effectLst/>
            <a:latin typeface="Arial" charset="0"/>
            <a:ea typeface="Arial" charset="0"/>
            <a:cs typeface="Arial" charset="0"/>
          </a:defRPr>
        </a:defPPr>
      </a:lstStyle>
      <a:style>
        <a:lnRef idx="2">
          <a:schemeClr val="accent1"/>
        </a:lnRef>
        <a:fillRef idx="1">
          <a:schemeClr val="lt1"/>
        </a:fillRef>
        <a:effectRef idx="0">
          <a:schemeClr val="accent1"/>
        </a:effectRef>
        <a:fontRef idx="minor">
          <a:schemeClr val="dk1"/>
        </a:fontRef>
      </a:style>
    </a:spDef>
    <a:lnDef>
      <a:spPr bwMode="auto">
        <a:solidFill>
          <a:srgbClr val="3656AB"/>
        </a:solidFill>
        <a:ln w="12700" cap="flat" cmpd="sng" algn="ctr">
          <a:solidFill>
            <a:schemeClr val="tx1"/>
          </a:solidFill>
          <a:prstDash val="solid"/>
          <a:round/>
          <a:headEnd type="none" w="med" len="med"/>
          <a:tailEnd type="arrow"/>
        </a:ln>
        <a:effectLst/>
      </a:spPr>
      <a:bodyPr/>
      <a:lstStyle/>
    </a:lnDef>
  </a:objectDefaults>
  <a:extraClrSchemeLst>
    <a:extraClrScheme>
      <a:clrScheme name="Text pages 1">
        <a:dk1>
          <a:srgbClr val="000000"/>
        </a:dk1>
        <a:lt1>
          <a:srgbClr val="FFFFFF"/>
        </a:lt1>
        <a:dk2>
          <a:srgbClr val="DCDCDC"/>
        </a:dk2>
        <a:lt2>
          <a:srgbClr val="F8E5D6"/>
        </a:lt2>
        <a:accent1>
          <a:srgbClr val="D46F23"/>
        </a:accent1>
        <a:accent2>
          <a:srgbClr val="E28C4D"/>
        </a:accent2>
        <a:accent3>
          <a:srgbClr val="FFFFFF"/>
        </a:accent3>
        <a:accent4>
          <a:srgbClr val="000000"/>
        </a:accent4>
        <a:accent5>
          <a:srgbClr val="E6BBAC"/>
        </a:accent5>
        <a:accent6>
          <a:srgbClr val="CD7E45"/>
        </a:accent6>
        <a:hlink>
          <a:srgbClr val="E9A97A"/>
        </a:hlink>
        <a:folHlink>
          <a:srgbClr val="EFC19F"/>
        </a:folHlink>
      </a:clrScheme>
      <a:clrMap bg1="lt1" tx1="dk1" bg2="lt2" tx2="dk2" accent1="accent1" accent2="accent2" accent3="accent3" accent4="accent4" accent5="accent5" accent6="accent6" hlink="hlink" folHlink="folHlink"/>
    </a:extraClrScheme>
    <a:extraClrScheme>
      <a:clrScheme name="Text pages 2">
        <a:dk1>
          <a:srgbClr val="000000"/>
        </a:dk1>
        <a:lt1>
          <a:srgbClr val="FFFFFF"/>
        </a:lt1>
        <a:dk2>
          <a:srgbClr val="DCDCDC"/>
        </a:dk2>
        <a:lt2>
          <a:srgbClr val="9BD2FF"/>
        </a:lt2>
        <a:accent1>
          <a:srgbClr val="005DAA"/>
        </a:accent1>
        <a:accent2>
          <a:srgbClr val="0082EE"/>
        </a:accent2>
        <a:accent3>
          <a:srgbClr val="FFFFFF"/>
        </a:accent3>
        <a:accent4>
          <a:srgbClr val="000000"/>
        </a:accent4>
        <a:accent5>
          <a:srgbClr val="AAB6D2"/>
        </a:accent5>
        <a:accent6>
          <a:srgbClr val="0075D8"/>
        </a:accent6>
        <a:hlink>
          <a:srgbClr val="219BFF"/>
        </a:hlink>
        <a:folHlink>
          <a:srgbClr val="79C2FF"/>
        </a:folHlink>
      </a:clrScheme>
      <a:clrMap bg1="lt1" tx1="dk1" bg2="lt2" tx2="dk2" accent1="accent1" accent2="accent2" accent3="accent3" accent4="accent4" accent5="accent5" accent6="accent6" hlink="hlink" folHlink="folHlink"/>
    </a:extraClrScheme>
    <a:extraClrScheme>
      <a:clrScheme name="Text pages 3">
        <a:dk1>
          <a:srgbClr val="000000"/>
        </a:dk1>
        <a:lt1>
          <a:srgbClr val="FFFFFF"/>
        </a:lt1>
        <a:dk2>
          <a:srgbClr val="DCDCD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4">
        <a:dk1>
          <a:srgbClr val="000000"/>
        </a:dk1>
        <a:lt1>
          <a:srgbClr val="FFFFFF"/>
        </a:lt1>
        <a:dk2>
          <a:srgbClr val="C9CBC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5">
        <a:dk1>
          <a:srgbClr val="000000"/>
        </a:dk1>
        <a:lt1>
          <a:srgbClr val="FFFFFF"/>
        </a:lt1>
        <a:dk2>
          <a:srgbClr val="C9CBCC"/>
        </a:dk2>
        <a:lt2>
          <a:srgbClr val="B7DEFF"/>
        </a:lt2>
        <a:accent1>
          <a:srgbClr val="005DAA"/>
        </a:accent1>
        <a:accent2>
          <a:srgbClr val="00A5D9"/>
        </a:accent2>
        <a:accent3>
          <a:srgbClr val="FFFFFF"/>
        </a:accent3>
        <a:accent4>
          <a:srgbClr val="000000"/>
        </a:accent4>
        <a:accent5>
          <a:srgbClr val="AAB6D2"/>
        </a:accent5>
        <a:accent6>
          <a:srgbClr val="0095C4"/>
        </a:accent6>
        <a:hlink>
          <a:srgbClr val="00AF9E"/>
        </a:hlink>
        <a:folHlink>
          <a:srgbClr val="93CEFF"/>
        </a:folHlink>
      </a:clrScheme>
      <a:clrMap bg1="lt1" tx1="dk1" bg2="lt2" tx2="dk2" accent1="accent1" accent2="accent2" accent3="accent3" accent4="accent4" accent5="accent5" accent6="accent6" hlink="hlink" folHlink="folHlink"/>
    </a:extraClrScheme>
    <a:extraClrScheme>
      <a:clrScheme name="Text pages 6">
        <a:dk1>
          <a:srgbClr val="000000"/>
        </a:dk1>
        <a:lt1>
          <a:srgbClr val="FFFFFF"/>
        </a:lt1>
        <a:dk2>
          <a:srgbClr val="C9CBCC"/>
        </a:dk2>
        <a:lt2>
          <a:srgbClr val="6DB33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93CEFF"/>
        </a:folHlink>
      </a:clrScheme>
      <a:clrMap bg1="lt1" tx1="dk1" bg2="lt2" tx2="dk2" accent1="accent1" accent2="accent2" accent3="accent3" accent4="accent4" accent5="accent5" accent6="accent6" hlink="hlink" folHlink="folHlink"/>
    </a:extraClrScheme>
    <a:extraClrScheme>
      <a:clrScheme name="Text pages 7">
        <a:dk1>
          <a:srgbClr val="000000"/>
        </a:dk1>
        <a:lt1>
          <a:srgbClr val="FFFFFF"/>
        </a:lt1>
        <a:dk2>
          <a:srgbClr val="C9CBCC"/>
        </a:dk2>
        <a:lt2>
          <a:srgbClr val="93CEF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6DB33F"/>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F0BB2-D60E-429C-AABB-80ECAE90A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w00.11.HouseStyle.docx</Template>
  <TotalTime>7</TotalTime>
  <Pages>4</Pages>
  <Words>1578</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W&amp;C Standard Template</vt:lpstr>
    </vt:vector>
  </TitlesOfParts>
  <Company>White &amp; Case LLP</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W&amp;C Standard Template</dc:title>
  <dc:creator>von Schmalensee, Max</dc:creator>
  <cp:lastModifiedBy>von Schmalensee, Max</cp:lastModifiedBy>
  <cp:revision>4</cp:revision>
  <dcterms:created xsi:type="dcterms:W3CDTF">2025-09-08T09:45:00Z</dcterms:created>
  <dcterms:modified xsi:type="dcterms:W3CDTF">2025-09-08T10:45:00Z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CFooterVersion">
    <vt:i4>1</vt:i4>
  </property>
  <property fmtid="{D5CDD505-2E9C-101B-9397-08002B2CF9AE}" pid="3" name="DocID">
    <vt:i4>23</vt:i4>
  </property>
  <property fmtid="{D5CDD505-2E9C-101B-9397-08002B2CF9AE}" pid="4" name="NewIn2000">
    <vt:bool>true</vt:bool>
  </property>
  <property fmtid="{D5CDD505-2E9C-101B-9397-08002B2CF9AE}" pid="5" name="WCOffice">
    <vt:lpwstr>Stockholm</vt:lpwstr>
  </property>
  <property fmtid="{D5CDD505-2E9C-101B-9397-08002B2CF9AE}" pid="6" name="Language1">
    <vt:lpwstr>English (US)</vt:lpwstr>
  </property>
  <property fmtid="{D5CDD505-2E9C-101B-9397-08002B2CF9AE}" pid="7" name="Office">
    <vt:lpwstr>New York</vt:lpwstr>
  </property>
  <property fmtid="{D5CDD505-2E9C-101B-9397-08002B2CF9AE}" pid="8" name="DateFormat">
    <vt:lpwstr>MONTH DAY, YEAR</vt:lpwstr>
  </property>
  <property fmtid="{D5CDD505-2E9C-101B-9397-08002B2CF9AE}" pid="9" name="NRT_DocNumber">
    <vt:lpwstr/>
  </property>
  <property fmtid="{D5CDD505-2E9C-101B-9397-08002B2CF9AE}" pid="10" name="NRT_DocVersion">
    <vt:lpwstr/>
  </property>
  <property fmtid="{D5CDD505-2E9C-101B-9397-08002B2CF9AE}" pid="11" name="NRT_DocName">
    <vt:lpwstr/>
  </property>
  <property fmtid="{D5CDD505-2E9C-101B-9397-08002B2CF9AE}" pid="12" name="NRT_AuthorDescription">
    <vt:lpwstr/>
  </property>
  <property fmtid="{D5CDD505-2E9C-101B-9397-08002B2CF9AE}" pid="13" name="NRT_Author">
    <vt:lpwstr/>
  </property>
  <property fmtid="{D5CDD505-2E9C-101B-9397-08002B2CF9AE}" pid="14" name="NRT_Operator">
    <vt:lpwstr/>
  </property>
  <property fmtid="{D5CDD505-2E9C-101B-9397-08002B2CF9AE}" pid="15" name="NRT_Database">
    <vt:lpwstr/>
  </property>
  <property fmtid="{D5CDD505-2E9C-101B-9397-08002B2CF9AE}" pid="16" name="NRT_ELITE_CLIENT">
    <vt:lpwstr/>
  </property>
  <property fmtid="{D5CDD505-2E9C-101B-9397-08002B2CF9AE}" pid="17" name="NRT_ELITE_MATTER">
    <vt:lpwstr/>
  </property>
  <property fmtid="{D5CDD505-2E9C-101B-9397-08002B2CF9AE}" pid="18" name="pDocRef">
    <vt:lpwstr/>
  </property>
  <property fmtid="{D5CDD505-2E9C-101B-9397-08002B2CF9AE}" pid="19" name="pDocNumber">
    <vt:lpwstr/>
  </property>
</Properties>
</file>