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064EC" w14:textId="3F05AADD" w:rsidR="00AB12CE" w:rsidRPr="00CC1883" w:rsidRDefault="00C161A1" w:rsidP="00CC1883">
      <w:pPr>
        <w:pStyle w:val="Heading1"/>
        <w:numPr>
          <w:ilvl w:val="0"/>
          <w:numId w:val="0"/>
        </w:numPr>
        <w:jc w:val="both"/>
        <w:rPr>
          <w:sz w:val="28"/>
          <w:szCs w:val="28"/>
        </w:rPr>
      </w:pPr>
      <w:r w:rsidRPr="00CC1883">
        <w:rPr>
          <w:sz w:val="28"/>
          <w:szCs w:val="28"/>
        </w:rPr>
        <w:t xml:space="preserve">Statement by the </w:t>
      </w:r>
      <w:r w:rsidR="00073AD7" w:rsidRPr="00CC1883">
        <w:rPr>
          <w:sz w:val="28"/>
          <w:szCs w:val="28"/>
        </w:rPr>
        <w:t>B</w:t>
      </w:r>
      <w:r w:rsidRPr="00CC1883">
        <w:rPr>
          <w:sz w:val="28"/>
          <w:szCs w:val="28"/>
        </w:rPr>
        <w:t xml:space="preserve">oard of </w:t>
      </w:r>
      <w:r w:rsidR="00073AD7" w:rsidRPr="00CC1883">
        <w:rPr>
          <w:sz w:val="28"/>
          <w:szCs w:val="28"/>
        </w:rPr>
        <w:t>D</w:t>
      </w:r>
      <w:r w:rsidRPr="00CC1883">
        <w:rPr>
          <w:sz w:val="28"/>
          <w:szCs w:val="28"/>
        </w:rPr>
        <w:t>irectors of CoinShares</w:t>
      </w:r>
      <w:r w:rsidR="006B35A4" w:rsidRPr="00CC1883">
        <w:rPr>
          <w:sz w:val="28"/>
          <w:szCs w:val="28"/>
        </w:rPr>
        <w:t xml:space="preserve"> </w:t>
      </w:r>
      <w:r w:rsidR="007B00B7" w:rsidRPr="00CC1883">
        <w:rPr>
          <w:sz w:val="28"/>
          <w:szCs w:val="28"/>
        </w:rPr>
        <w:t xml:space="preserve">regarding </w:t>
      </w:r>
      <w:r w:rsidR="00073AD7" w:rsidRPr="00CC1883">
        <w:rPr>
          <w:sz w:val="28"/>
          <w:szCs w:val="28"/>
        </w:rPr>
        <w:t xml:space="preserve">the </w:t>
      </w:r>
      <w:r w:rsidR="004C535B">
        <w:rPr>
          <w:sz w:val="28"/>
          <w:szCs w:val="28"/>
        </w:rPr>
        <w:t>joint merger plan</w:t>
      </w:r>
      <w:r w:rsidR="00073AD7">
        <w:rPr>
          <w:sz w:val="28"/>
          <w:szCs w:val="28"/>
        </w:rPr>
        <w:t xml:space="preserve"> with </w:t>
      </w:r>
      <w:r w:rsidR="004B0BD0" w:rsidRPr="004C1D7A">
        <w:rPr>
          <w:sz w:val="28"/>
          <w:szCs w:val="28"/>
        </w:rPr>
        <w:t>Odysseus Holdings</w:t>
      </w:r>
      <w:r w:rsidR="004F5B98">
        <w:rPr>
          <w:sz w:val="28"/>
          <w:szCs w:val="28"/>
        </w:rPr>
        <w:t xml:space="preserve">, </w:t>
      </w:r>
      <w:r w:rsidR="004F5B98" w:rsidRPr="000804BB">
        <w:rPr>
          <w:sz w:val="28"/>
          <w:szCs w:val="28"/>
        </w:rPr>
        <w:t>Vine Hill Capital Investment Corp., Odysseus Holdings Limited and others</w:t>
      </w:r>
    </w:p>
    <w:p w14:paraId="0D33AB70" w14:textId="014F75E4" w:rsidR="004B0BD0" w:rsidRPr="00854CDD" w:rsidRDefault="004B0BD0" w:rsidP="00CC1883">
      <w:pPr>
        <w:pStyle w:val="wText"/>
        <w:spacing w:after="240"/>
        <w:rPr>
          <w:b/>
          <w:bCs/>
          <w:lang w:val="en-GB"/>
        </w:rPr>
      </w:pPr>
      <w:r w:rsidRPr="00001275">
        <w:rPr>
          <w:b/>
          <w:bCs/>
        </w:rPr>
        <w:t xml:space="preserve">CoinShares International Limited (“CoinShares”) Vine Hill Capital Investment Corp., </w:t>
      </w:r>
      <w:r w:rsidRPr="00001275">
        <w:rPr>
          <w:b/>
          <w:bCs/>
          <w:lang w:val="en-GB"/>
        </w:rPr>
        <w:t xml:space="preserve">a special purpose acquisition company listed on the Nasdaq Stock Market </w:t>
      </w:r>
      <w:r w:rsidRPr="00001275">
        <w:rPr>
          <w:b/>
          <w:bCs/>
        </w:rPr>
        <w:t>(“Vine Hill”)</w:t>
      </w:r>
      <w:r w:rsidR="00854CDD" w:rsidRPr="00854CDD">
        <w:rPr>
          <w:b/>
          <w:bCs/>
        </w:rPr>
        <w:t>, and Odysseus Holdings Limited,</w:t>
      </w:r>
      <w:r w:rsidR="00854CDD" w:rsidRPr="00854CDD">
        <w:rPr>
          <w:b/>
          <w:bCs/>
          <w:lang w:val="en-GB"/>
        </w:rPr>
        <w:t xml:space="preserve"> a newly formed Jersey entity,</w:t>
      </w:r>
      <w:r w:rsidR="00854CDD" w:rsidRPr="00854CDD">
        <w:rPr>
          <w:b/>
          <w:bCs/>
        </w:rPr>
        <w:t xml:space="preserve"> (“Odysseus Holdings”)</w:t>
      </w:r>
      <w:r w:rsidR="00854CDD" w:rsidRPr="00854CDD">
        <w:rPr>
          <w:b/>
          <w:bCs/>
          <w:vertAlign w:val="superscript"/>
        </w:rPr>
        <w:footnoteReference w:id="1"/>
      </w:r>
      <w:r w:rsidR="00854CDD" w:rsidRPr="00854CDD">
        <w:rPr>
          <w:b/>
          <w:bCs/>
          <w:lang w:val="en-GB"/>
        </w:rPr>
        <w:t xml:space="preserve"> </w:t>
      </w:r>
      <w:r w:rsidRPr="00001275">
        <w:rPr>
          <w:b/>
          <w:bCs/>
        </w:rPr>
        <w:t>today jointly announce that CoinShares</w:t>
      </w:r>
      <w:r w:rsidR="00854CDD">
        <w:rPr>
          <w:b/>
          <w:bCs/>
        </w:rPr>
        <w:t>,</w:t>
      </w:r>
      <w:r w:rsidRPr="00001275">
        <w:rPr>
          <w:b/>
          <w:bCs/>
        </w:rPr>
        <w:t xml:space="preserve"> Vine Hill</w:t>
      </w:r>
      <w:r w:rsidR="00854CDD">
        <w:rPr>
          <w:b/>
          <w:bCs/>
        </w:rPr>
        <w:t xml:space="preserve"> and </w:t>
      </w:r>
      <w:r w:rsidR="00854CDD" w:rsidRPr="00854CDD">
        <w:rPr>
          <w:b/>
          <w:bCs/>
        </w:rPr>
        <w:t>Odysseus Holdings</w:t>
      </w:r>
      <w:r w:rsidRPr="00001275">
        <w:rPr>
          <w:b/>
          <w:bCs/>
        </w:rPr>
        <w:t xml:space="preserve"> have agreed on a </w:t>
      </w:r>
      <w:r>
        <w:rPr>
          <w:b/>
          <w:bCs/>
        </w:rPr>
        <w:t xml:space="preserve">joint </w:t>
      </w:r>
      <w:r w:rsidRPr="00001275">
        <w:rPr>
          <w:b/>
          <w:bCs/>
        </w:rPr>
        <w:t>merger</w:t>
      </w:r>
      <w:r>
        <w:rPr>
          <w:b/>
          <w:bCs/>
        </w:rPr>
        <w:t xml:space="preserve"> plan</w:t>
      </w:r>
      <w:r w:rsidRPr="00001275">
        <w:rPr>
          <w:b/>
          <w:bCs/>
        </w:rPr>
        <w:t xml:space="preserve"> </w:t>
      </w:r>
      <w:r w:rsidR="00854CDD">
        <w:rPr>
          <w:b/>
          <w:bCs/>
        </w:rPr>
        <w:t xml:space="preserve">including </w:t>
      </w:r>
      <w:r w:rsidRPr="00EA0A08">
        <w:rPr>
          <w:b/>
          <w:bCs/>
        </w:rPr>
        <w:t xml:space="preserve">a court-sanctioned </w:t>
      </w:r>
      <w:r>
        <w:rPr>
          <w:b/>
          <w:bCs/>
        </w:rPr>
        <w:t>S</w:t>
      </w:r>
      <w:r w:rsidRPr="00EA0A08">
        <w:rPr>
          <w:b/>
          <w:bCs/>
        </w:rPr>
        <w:t xml:space="preserve">cheme of </w:t>
      </w:r>
      <w:r>
        <w:rPr>
          <w:b/>
          <w:bCs/>
        </w:rPr>
        <w:t>A</w:t>
      </w:r>
      <w:r w:rsidRPr="00EA0A08">
        <w:rPr>
          <w:b/>
          <w:bCs/>
        </w:rPr>
        <w:t xml:space="preserve">rrangement </w:t>
      </w:r>
      <w:r>
        <w:rPr>
          <w:b/>
          <w:bCs/>
        </w:rPr>
        <w:t xml:space="preserve">(as defined below) </w:t>
      </w:r>
      <w:r w:rsidRPr="00EA0A08">
        <w:rPr>
          <w:b/>
          <w:bCs/>
        </w:rPr>
        <w:t>under Jersey</w:t>
      </w:r>
      <w:r>
        <w:rPr>
          <w:b/>
          <w:bCs/>
        </w:rPr>
        <w:t xml:space="preserve"> </w:t>
      </w:r>
      <w:r w:rsidRPr="00EA0A08">
        <w:rPr>
          <w:b/>
          <w:bCs/>
        </w:rPr>
        <w:t xml:space="preserve">Law between CoinShares and </w:t>
      </w:r>
      <w:r w:rsidRPr="00EA0A08">
        <w:rPr>
          <w:b/>
          <w:bCs/>
          <w:lang w:bidi="he-IL"/>
        </w:rPr>
        <w:t xml:space="preserve">its shareholders (such </w:t>
      </w:r>
      <w:r>
        <w:rPr>
          <w:b/>
          <w:bCs/>
          <w:lang w:bidi="he-IL"/>
        </w:rPr>
        <w:t xml:space="preserve">joint </w:t>
      </w:r>
      <w:r w:rsidRPr="00EA0A08">
        <w:rPr>
          <w:b/>
          <w:bCs/>
          <w:lang w:bidi="he-IL"/>
        </w:rPr>
        <w:t xml:space="preserve">merger </w:t>
      </w:r>
      <w:r>
        <w:rPr>
          <w:b/>
          <w:bCs/>
          <w:lang w:bidi="he-IL"/>
        </w:rPr>
        <w:t xml:space="preserve">plan </w:t>
      </w:r>
      <w:r w:rsidRPr="00EA0A08">
        <w:rPr>
          <w:b/>
          <w:bCs/>
          <w:lang w:bidi="he-IL"/>
        </w:rPr>
        <w:t xml:space="preserve">and </w:t>
      </w:r>
      <w:r>
        <w:rPr>
          <w:b/>
          <w:bCs/>
          <w:lang w:bidi="he-IL"/>
        </w:rPr>
        <w:t>the S</w:t>
      </w:r>
      <w:r w:rsidRPr="00EA0A08">
        <w:rPr>
          <w:b/>
          <w:bCs/>
          <w:lang w:bidi="he-IL"/>
        </w:rPr>
        <w:t xml:space="preserve">cheme of </w:t>
      </w:r>
      <w:r>
        <w:rPr>
          <w:b/>
          <w:bCs/>
          <w:lang w:bidi="he-IL"/>
        </w:rPr>
        <w:t>A</w:t>
      </w:r>
      <w:r w:rsidRPr="00EA0A08">
        <w:rPr>
          <w:b/>
          <w:bCs/>
          <w:lang w:bidi="he-IL"/>
        </w:rPr>
        <w:t>rrangement, together, the “Transaction”)</w:t>
      </w:r>
      <w:r w:rsidRPr="00001275">
        <w:rPr>
          <w:b/>
          <w:bCs/>
        </w:rPr>
        <w:t>, in order to facilitate a change of listing venue for CoinShares</w:t>
      </w:r>
      <w:r>
        <w:rPr>
          <w:b/>
          <w:bCs/>
        </w:rPr>
        <w:t xml:space="preserve"> </w:t>
      </w:r>
      <w:r w:rsidR="00456B8E">
        <w:rPr>
          <w:b/>
          <w:bCs/>
        </w:rPr>
        <w:t xml:space="preserve">ordinary </w:t>
      </w:r>
      <w:r>
        <w:rPr>
          <w:b/>
          <w:bCs/>
        </w:rPr>
        <w:t>shares</w:t>
      </w:r>
      <w:r w:rsidRPr="00001275">
        <w:rPr>
          <w:b/>
          <w:bCs/>
        </w:rPr>
        <w:t xml:space="preserve"> from Nasdaq Stockholm to the Nasdaq Stock Market in the United States</w:t>
      </w:r>
      <w:r>
        <w:rPr>
          <w:b/>
          <w:bCs/>
        </w:rPr>
        <w:t>,</w:t>
      </w:r>
      <w:r w:rsidRPr="00056B47">
        <w:t xml:space="preserve"> </w:t>
      </w:r>
      <w:r w:rsidRPr="00056B47">
        <w:rPr>
          <w:b/>
          <w:bCs/>
        </w:rPr>
        <w:t xml:space="preserve">or any other public stock market or exchange in the United States as may be agreed </w:t>
      </w:r>
      <w:r>
        <w:rPr>
          <w:b/>
          <w:bCs/>
        </w:rPr>
        <w:t>between</w:t>
      </w:r>
      <w:r w:rsidRPr="00056B47">
        <w:rPr>
          <w:b/>
          <w:bCs/>
        </w:rPr>
        <w:t xml:space="preserve"> CoinShares and Vine Hill</w:t>
      </w:r>
      <w:r w:rsidRPr="00001275">
        <w:rPr>
          <w:b/>
          <w:bCs/>
        </w:rPr>
        <w:t>.</w:t>
      </w:r>
      <w:r>
        <w:rPr>
          <w:b/>
          <w:bCs/>
        </w:rPr>
        <w:t xml:space="preserve"> </w:t>
      </w:r>
      <w:r w:rsidR="00A0680F" w:rsidRPr="000804BB">
        <w:rPr>
          <w:b/>
          <w:bCs/>
        </w:rPr>
        <w:t xml:space="preserve">The total consideration for CoinShares’ shareholders </w:t>
      </w:r>
      <w:r w:rsidR="00A0680F">
        <w:rPr>
          <w:b/>
          <w:bCs/>
        </w:rPr>
        <w:t>represents a valuation of</w:t>
      </w:r>
      <w:r w:rsidR="00A0680F" w:rsidRPr="000804BB">
        <w:rPr>
          <w:b/>
          <w:bCs/>
        </w:rPr>
        <w:t xml:space="preserve"> CoinShares at approximately SEK 11.3 billion</w:t>
      </w:r>
      <w:r w:rsidR="00A0680F">
        <w:rPr>
          <w:b/>
          <w:bCs/>
        </w:rPr>
        <w:t xml:space="preserve"> or USD 1.2 billion</w:t>
      </w:r>
      <w:r w:rsidR="00A0680F" w:rsidRPr="000804BB">
        <w:rPr>
          <w:b/>
          <w:bCs/>
        </w:rPr>
        <w:t xml:space="preserve">, corresponding to </w:t>
      </w:r>
      <w:r w:rsidR="00A0680F">
        <w:rPr>
          <w:b/>
          <w:bCs/>
        </w:rPr>
        <w:t xml:space="preserve">approximately </w:t>
      </w:r>
      <w:r w:rsidR="00A0680F" w:rsidRPr="000804BB">
        <w:rPr>
          <w:b/>
          <w:bCs/>
        </w:rPr>
        <w:t xml:space="preserve">SEK </w:t>
      </w:r>
      <w:r w:rsidR="007A1245" w:rsidRPr="000804BB">
        <w:rPr>
          <w:b/>
          <w:bCs/>
        </w:rPr>
        <w:t>17</w:t>
      </w:r>
      <w:r w:rsidR="007A1245">
        <w:rPr>
          <w:b/>
          <w:bCs/>
        </w:rPr>
        <w:t>3</w:t>
      </w:r>
      <w:r w:rsidR="00A0680F" w:rsidRPr="000804BB">
        <w:rPr>
          <w:b/>
          <w:bCs/>
        </w:rPr>
        <w:t>.</w:t>
      </w:r>
      <w:r w:rsidR="007A1245">
        <w:rPr>
          <w:b/>
          <w:bCs/>
        </w:rPr>
        <w:t>2</w:t>
      </w:r>
      <w:r w:rsidR="007A1245" w:rsidRPr="000804BB">
        <w:rPr>
          <w:b/>
          <w:bCs/>
        </w:rPr>
        <w:t xml:space="preserve"> </w:t>
      </w:r>
      <w:r w:rsidR="00A0680F" w:rsidRPr="000804BB">
        <w:rPr>
          <w:b/>
          <w:bCs/>
        </w:rPr>
        <w:t>per</w:t>
      </w:r>
      <w:r w:rsidR="00456B8E">
        <w:rPr>
          <w:b/>
          <w:bCs/>
        </w:rPr>
        <w:t xml:space="preserve"> ordinary</w:t>
      </w:r>
      <w:r w:rsidR="00A0680F" w:rsidRPr="000804BB">
        <w:rPr>
          <w:b/>
          <w:bCs/>
        </w:rPr>
        <w:t xml:space="preserve"> share</w:t>
      </w:r>
      <w:r w:rsidR="00A0680F">
        <w:rPr>
          <w:b/>
          <w:bCs/>
        </w:rPr>
        <w:t xml:space="preserve"> in CoinShares calculated based on the shares and options outstanding as of 8 September 2025 in accordance with terms of the BCA (as defined below)</w:t>
      </w:r>
      <w:r w:rsidR="00A0680F">
        <w:rPr>
          <w:rStyle w:val="FootnoteReference"/>
          <w:b/>
          <w:bCs/>
        </w:rPr>
        <w:footnoteReference w:id="2"/>
      </w:r>
      <w:r w:rsidR="00A0680F">
        <w:rPr>
          <w:b/>
          <w:bCs/>
        </w:rPr>
        <w:t>,</w:t>
      </w:r>
      <w:r w:rsidR="00A0680F" w:rsidRPr="000804BB">
        <w:rPr>
          <w:b/>
          <w:bCs/>
        </w:rPr>
        <w:t xml:space="preserve"> and representing a premium of </w:t>
      </w:r>
      <w:r w:rsidR="00A0680F" w:rsidRPr="000804BB">
        <w:rPr>
          <w:b/>
          <w:bCs/>
          <w:lang w:eastAsia="sv-SE"/>
        </w:rPr>
        <w:t xml:space="preserve">approximately </w:t>
      </w:r>
      <w:r w:rsidR="007A1245">
        <w:rPr>
          <w:b/>
          <w:bCs/>
          <w:lang w:eastAsia="sv-SE"/>
        </w:rPr>
        <w:t>30</w:t>
      </w:r>
      <w:r w:rsidR="00A0680F" w:rsidRPr="000804BB">
        <w:rPr>
          <w:b/>
          <w:bCs/>
          <w:lang w:eastAsia="sv-SE"/>
        </w:rPr>
        <w:t>.</w:t>
      </w:r>
      <w:r w:rsidR="007A1245">
        <w:rPr>
          <w:b/>
          <w:bCs/>
          <w:lang w:eastAsia="sv-SE"/>
        </w:rPr>
        <w:t>6</w:t>
      </w:r>
      <w:r w:rsidR="007A1245" w:rsidRPr="000804BB">
        <w:rPr>
          <w:b/>
          <w:bCs/>
          <w:lang w:eastAsia="sv-SE"/>
        </w:rPr>
        <w:t xml:space="preserve"> </w:t>
      </w:r>
      <w:r w:rsidR="00A0680F" w:rsidRPr="000804BB">
        <w:rPr>
          <w:b/>
          <w:bCs/>
          <w:lang w:eastAsia="sv-SE"/>
        </w:rPr>
        <w:t xml:space="preserve">percent compared to the closing share price of SEK 132.6 </w:t>
      </w:r>
      <w:r w:rsidR="00A0680F">
        <w:rPr>
          <w:b/>
          <w:bCs/>
        </w:rPr>
        <w:t>in CoinShares</w:t>
      </w:r>
      <w:r w:rsidR="00A0680F" w:rsidRPr="000804BB">
        <w:rPr>
          <w:b/>
          <w:bCs/>
          <w:lang w:eastAsia="sv-SE"/>
        </w:rPr>
        <w:t xml:space="preserve"> on Nasdaq Stockholm on 5 September 2025, which was the last </w:t>
      </w:r>
      <w:r w:rsidR="00A0680F">
        <w:rPr>
          <w:b/>
          <w:bCs/>
          <w:lang w:eastAsia="sv-SE"/>
        </w:rPr>
        <w:t xml:space="preserve">ended </w:t>
      </w:r>
      <w:r w:rsidR="00A0680F" w:rsidRPr="000804BB">
        <w:rPr>
          <w:b/>
          <w:bCs/>
          <w:lang w:eastAsia="sv-SE"/>
        </w:rPr>
        <w:t>trading day prior to the announcement of the Transaction</w:t>
      </w:r>
      <w:r w:rsidR="00A0680F">
        <w:rPr>
          <w:rStyle w:val="FootnoteReference"/>
          <w:lang w:eastAsia="sv-SE"/>
        </w:rPr>
        <w:footnoteReference w:id="3"/>
      </w:r>
      <w:r w:rsidR="00A0680F" w:rsidRPr="000804BB">
        <w:rPr>
          <w:b/>
          <w:bCs/>
          <w:lang w:eastAsia="sv-SE"/>
        </w:rPr>
        <w:t>.</w:t>
      </w:r>
      <w:r w:rsidRPr="00665A02">
        <w:rPr>
          <w:b/>
          <w:bCs/>
          <w:lang w:eastAsia="sv-SE"/>
        </w:rPr>
        <w:t xml:space="preserve">The consideration of the </w:t>
      </w:r>
      <w:r>
        <w:rPr>
          <w:b/>
          <w:bCs/>
          <w:lang w:eastAsia="sv-SE"/>
        </w:rPr>
        <w:t>Transaction</w:t>
      </w:r>
      <w:r w:rsidRPr="00665A02">
        <w:rPr>
          <w:b/>
          <w:bCs/>
          <w:lang w:eastAsia="sv-SE"/>
        </w:rPr>
        <w:t xml:space="preserve"> consists of </w:t>
      </w:r>
      <w:r>
        <w:rPr>
          <w:b/>
          <w:bCs/>
          <w:lang w:eastAsia="sv-SE"/>
        </w:rPr>
        <w:t xml:space="preserve">ordinary </w:t>
      </w:r>
      <w:r w:rsidRPr="00665A02">
        <w:rPr>
          <w:b/>
          <w:bCs/>
          <w:lang w:eastAsia="sv-SE"/>
        </w:rPr>
        <w:t xml:space="preserve">shares in </w:t>
      </w:r>
      <w:r w:rsidRPr="00665A02">
        <w:rPr>
          <w:b/>
          <w:bCs/>
        </w:rPr>
        <w:t>Odysseus Holdings</w:t>
      </w:r>
      <w:r>
        <w:rPr>
          <w:b/>
          <w:bCs/>
        </w:rPr>
        <w:t xml:space="preserve"> (as defined below)</w:t>
      </w:r>
      <w:r w:rsidRPr="00665A02">
        <w:rPr>
          <w:b/>
          <w:bCs/>
          <w:lang w:eastAsia="sv-SE"/>
        </w:rPr>
        <w:t xml:space="preserve">, which will </w:t>
      </w:r>
      <w:r>
        <w:rPr>
          <w:b/>
          <w:bCs/>
          <w:lang w:eastAsia="sv-SE"/>
        </w:rPr>
        <w:t xml:space="preserve">ultimately </w:t>
      </w:r>
      <w:r w:rsidRPr="00665A02">
        <w:rPr>
          <w:b/>
          <w:bCs/>
          <w:lang w:eastAsia="sv-SE"/>
        </w:rPr>
        <w:t xml:space="preserve">replace Vine Hill as the listed entity </w:t>
      </w:r>
      <w:r>
        <w:rPr>
          <w:b/>
          <w:bCs/>
          <w:lang w:eastAsia="sv-SE"/>
        </w:rPr>
        <w:t xml:space="preserve">on the Nasdaq Stock Market in the United States and </w:t>
      </w:r>
      <w:r w:rsidRPr="00665A02">
        <w:rPr>
          <w:b/>
          <w:bCs/>
          <w:lang w:eastAsia="sv-SE"/>
        </w:rPr>
        <w:t>ow</w:t>
      </w:r>
      <w:r>
        <w:rPr>
          <w:b/>
          <w:bCs/>
          <w:lang w:eastAsia="sv-SE"/>
        </w:rPr>
        <w:t>n</w:t>
      </w:r>
      <w:r w:rsidRPr="00665A02">
        <w:rPr>
          <w:b/>
          <w:bCs/>
          <w:lang w:eastAsia="sv-SE"/>
        </w:rPr>
        <w:t xml:space="preserve"> all</w:t>
      </w:r>
      <w:r>
        <w:rPr>
          <w:b/>
          <w:bCs/>
          <w:lang w:eastAsia="sv-SE"/>
        </w:rPr>
        <w:t xml:space="preserve"> the </w:t>
      </w:r>
      <w:r w:rsidRPr="00665A02">
        <w:rPr>
          <w:b/>
          <w:bCs/>
          <w:lang w:eastAsia="sv-SE"/>
        </w:rPr>
        <w:t xml:space="preserve">outstanding shares in CoinShares after the </w:t>
      </w:r>
      <w:r>
        <w:rPr>
          <w:b/>
          <w:bCs/>
          <w:lang w:eastAsia="sv-SE"/>
        </w:rPr>
        <w:t>completion</w:t>
      </w:r>
      <w:r w:rsidRPr="00665A02">
        <w:rPr>
          <w:b/>
          <w:bCs/>
          <w:lang w:eastAsia="sv-SE"/>
        </w:rPr>
        <w:t xml:space="preserve"> of the </w:t>
      </w:r>
      <w:r>
        <w:rPr>
          <w:b/>
          <w:bCs/>
          <w:lang w:eastAsia="sv-SE"/>
        </w:rPr>
        <w:t>Transaction</w:t>
      </w:r>
      <w:r w:rsidRPr="00AC21BE">
        <w:rPr>
          <w:b/>
          <w:bCs/>
          <w:lang w:eastAsia="sv-SE"/>
        </w:rPr>
        <w:t xml:space="preserve"> </w:t>
      </w:r>
      <w:r>
        <w:rPr>
          <w:b/>
          <w:bCs/>
          <w:lang w:eastAsia="sv-SE"/>
        </w:rPr>
        <w:t>which is intended to commence on 17 December 2025</w:t>
      </w:r>
      <w:r w:rsidRPr="00665A02">
        <w:rPr>
          <w:b/>
          <w:bCs/>
          <w:lang w:eastAsia="sv-SE"/>
        </w:rPr>
        <w:t>.</w:t>
      </w:r>
      <w:r w:rsidRPr="005035C8">
        <w:rPr>
          <w:b/>
          <w:bCs/>
        </w:rPr>
        <w:t xml:space="preserve"> </w:t>
      </w:r>
    </w:p>
    <w:p w14:paraId="19E1B3BF" w14:textId="0FFC88A8" w:rsidR="005F6317" w:rsidRDefault="005F6317" w:rsidP="00CC1883">
      <w:pPr>
        <w:pStyle w:val="wText"/>
        <w:spacing w:after="240"/>
      </w:pPr>
      <w:r>
        <w:t>Today,</w:t>
      </w:r>
      <w:r w:rsidR="009E06EE">
        <w:t xml:space="preserve"> 8 September </w:t>
      </w:r>
      <w:r>
        <w:t>2025</w:t>
      </w:r>
      <w:r w:rsidRPr="00665A02">
        <w:t>,</w:t>
      </w:r>
      <w:r w:rsidR="00D34E1B">
        <w:t xml:space="preserve"> each of</w:t>
      </w:r>
      <w:r w:rsidRPr="00665A02">
        <w:t xml:space="preserve"> </w:t>
      </w:r>
      <w:r>
        <w:t>CoinShares, Vine Hill,</w:t>
      </w:r>
      <w:r w:rsidRPr="006D7599">
        <w:rPr>
          <w:lang w:val="en-GB"/>
        </w:rPr>
        <w:t xml:space="preserve"> </w:t>
      </w:r>
      <w:r w:rsidRPr="003E43AE">
        <w:rPr>
          <w:lang w:bidi="he-IL"/>
        </w:rPr>
        <w:t xml:space="preserve">Odysseus Holdings </w:t>
      </w:r>
      <w:r>
        <w:t xml:space="preserve">and </w:t>
      </w:r>
      <w:r w:rsidRPr="00492E2B">
        <w:rPr>
          <w:lang w:bidi="he-IL"/>
        </w:rPr>
        <w:t xml:space="preserve">Odysseus (Cayman) </w:t>
      </w:r>
      <w:r w:rsidR="00406C91">
        <w:rPr>
          <w:lang w:bidi="he-IL"/>
        </w:rPr>
        <w:t>Limited</w:t>
      </w:r>
      <w:r>
        <w:rPr>
          <w:lang w:bidi="he-IL"/>
        </w:rPr>
        <w:t xml:space="preserve">, </w:t>
      </w:r>
      <w:r w:rsidR="001C349D" w:rsidRPr="001C349D">
        <w:rPr>
          <w:lang w:bidi="he-IL"/>
        </w:rPr>
        <w:t xml:space="preserve">a </w:t>
      </w:r>
      <w:r w:rsidR="001C349D" w:rsidRPr="001C349D">
        <w:rPr>
          <w:lang w:val="en-GB" w:bidi="he-IL"/>
        </w:rPr>
        <w:t>newly formed Cayman Islands exempted company,</w:t>
      </w:r>
      <w:r w:rsidR="001C349D" w:rsidRPr="001C349D">
        <w:rPr>
          <w:lang w:bidi="he-IL"/>
        </w:rPr>
        <w:t xml:space="preserve"> wholly owned by Odysseus Holding</w:t>
      </w:r>
      <w:r w:rsidR="001C349D">
        <w:rPr>
          <w:lang w:val="en-GB" w:bidi="he-IL"/>
        </w:rPr>
        <w:t>s</w:t>
      </w:r>
      <w:r>
        <w:rPr>
          <w:lang w:val="en-GB"/>
        </w:rPr>
        <w:t xml:space="preserve"> </w:t>
      </w:r>
      <w:r w:rsidRPr="00665A02">
        <w:t xml:space="preserve">have entered into a </w:t>
      </w:r>
      <w:r>
        <w:t xml:space="preserve">Business Combination Agreement </w:t>
      </w:r>
      <w:r w:rsidR="003D6EAA">
        <w:t>(the “</w:t>
      </w:r>
      <w:r w:rsidR="003D6EAA" w:rsidRPr="003D6EAA">
        <w:rPr>
          <w:b/>
          <w:bCs/>
        </w:rPr>
        <w:t>BCA</w:t>
      </w:r>
      <w:r w:rsidR="003D6EAA">
        <w:t xml:space="preserve">”) </w:t>
      </w:r>
      <w:r>
        <w:t xml:space="preserve">which outlines the structure of the </w:t>
      </w:r>
      <w:r>
        <w:rPr>
          <w:lang w:eastAsia="sv-SE"/>
        </w:rPr>
        <w:t>Transaction</w:t>
      </w:r>
      <w:r>
        <w:t xml:space="preserve"> </w:t>
      </w:r>
      <w:r w:rsidRPr="00665A02">
        <w:t>and a joint merger plan</w:t>
      </w:r>
      <w:r>
        <w:t xml:space="preserve"> </w:t>
      </w:r>
      <w:r w:rsidR="009F756B">
        <w:t>that includes</w:t>
      </w:r>
      <w:r>
        <w:t xml:space="preserve"> a scheme of arrangement</w:t>
      </w:r>
      <w:r w:rsidRPr="00665A02">
        <w:t xml:space="preserve"> </w:t>
      </w:r>
      <w:r w:rsidRPr="00AF657C">
        <w:rPr>
          <w:lang w:val="en-GB"/>
        </w:rPr>
        <w:t xml:space="preserve">under </w:t>
      </w:r>
      <w:r>
        <w:rPr>
          <w:lang w:val="en-GB"/>
        </w:rPr>
        <w:t xml:space="preserve">Article 125 of the </w:t>
      </w:r>
      <w:r w:rsidRPr="00AF657C">
        <w:rPr>
          <w:lang w:val="en-GB"/>
        </w:rPr>
        <w:t>Jersey Companies Law</w:t>
      </w:r>
      <w:r w:rsidR="004B0BD0">
        <w:rPr>
          <w:lang w:val="en-GB"/>
        </w:rPr>
        <w:t xml:space="preserve"> (the “</w:t>
      </w:r>
      <w:r w:rsidR="004B0BD0" w:rsidRPr="004B0BD0">
        <w:rPr>
          <w:b/>
          <w:bCs/>
          <w:lang w:val="en-GB"/>
        </w:rPr>
        <w:t>Scheme of Arrangement</w:t>
      </w:r>
      <w:r w:rsidR="004B0BD0">
        <w:rPr>
          <w:lang w:val="en-GB"/>
        </w:rPr>
        <w:t>”)</w:t>
      </w:r>
      <w:r w:rsidRPr="00665A02">
        <w:t>.</w:t>
      </w:r>
    </w:p>
    <w:p w14:paraId="1C67660C" w14:textId="5E52C1A2" w:rsidR="006976DD" w:rsidRPr="006976DD" w:rsidRDefault="006976DD" w:rsidP="006976DD">
      <w:pPr>
        <w:spacing w:after="240"/>
        <w:jc w:val="both"/>
        <w:rPr>
          <w:rFonts w:eastAsia="Times New Roman"/>
          <w:color w:val="040D26"/>
          <w:sz w:val="18"/>
          <w:szCs w:val="18"/>
          <w:lang w:val="en-GB" w:eastAsia="sv-SE"/>
        </w:rPr>
      </w:pPr>
      <w:r w:rsidRPr="000804BB">
        <w:t>Each issued and outstanding ordinary share of CoinShares will be exchanged for a number of ordinary shares of Odysseus Holdings (each, a</w:t>
      </w:r>
      <w:r>
        <w:t>n</w:t>
      </w:r>
      <w:r w:rsidRPr="000804BB">
        <w:t xml:space="preserve"> “</w:t>
      </w:r>
      <w:r w:rsidRPr="00C46876">
        <w:rPr>
          <w:b/>
          <w:bCs/>
        </w:rPr>
        <w:t>Odysseus Holdings Ordinary Share</w:t>
      </w:r>
      <w:r w:rsidRPr="000804BB">
        <w:t>”) equal to the quotient obtained by dividing (i) the Equity Value Per Share (as defined below) by (ii) USD 10.0</w:t>
      </w:r>
      <w:r>
        <w:rPr>
          <w:rStyle w:val="FootnoteReference"/>
        </w:rPr>
        <w:footnoteReference w:id="4"/>
      </w:r>
      <w:r w:rsidRPr="000804BB">
        <w:t xml:space="preserve"> (such quotient, the “</w:t>
      </w:r>
      <w:r w:rsidRPr="000804BB">
        <w:rPr>
          <w:b/>
          <w:bCs/>
        </w:rPr>
        <w:t>Equity Exchange Ratio</w:t>
      </w:r>
      <w:r w:rsidRPr="000804BB">
        <w:t>”). The “</w:t>
      </w:r>
      <w:r w:rsidRPr="000804BB">
        <w:rPr>
          <w:b/>
          <w:bCs/>
        </w:rPr>
        <w:t>Equity Value Per Share</w:t>
      </w:r>
      <w:r w:rsidRPr="000804BB">
        <w:t>” is calculated as USD 1.2 billion</w:t>
      </w:r>
      <w:r>
        <w:rPr>
          <w:rStyle w:val="FootnoteReference"/>
        </w:rPr>
        <w:footnoteReference w:id="5"/>
      </w:r>
      <w:r w:rsidRPr="000804BB">
        <w:t xml:space="preserve"> divided by the fully diluted number of outstanding</w:t>
      </w:r>
      <w:r>
        <w:t xml:space="preserve"> and issued </w:t>
      </w:r>
      <w:r w:rsidR="00385774">
        <w:t xml:space="preserve">ordinary </w:t>
      </w:r>
      <w:r>
        <w:t>shares in CoinShares</w:t>
      </w:r>
      <w:r w:rsidRPr="00265874">
        <w:t xml:space="preserve"> </w:t>
      </w:r>
      <w:r>
        <w:t xml:space="preserve">as of </w:t>
      </w:r>
      <w:r>
        <w:lastRenderedPageBreak/>
        <w:t xml:space="preserve">immediately prior to </w:t>
      </w:r>
      <w:r w:rsidRPr="00204D17">
        <w:t xml:space="preserve">the completion of the Transaction, excluding the </w:t>
      </w:r>
      <w:r w:rsidR="00E82ED5">
        <w:t xml:space="preserve">ordinary </w:t>
      </w:r>
      <w:r w:rsidRPr="00204D17">
        <w:t xml:space="preserve">shares </w:t>
      </w:r>
      <w:r>
        <w:t xml:space="preserve">in </w:t>
      </w:r>
      <w:r w:rsidRPr="00204D17">
        <w:t xml:space="preserve">to be issued in the </w:t>
      </w:r>
      <w:r w:rsidR="00122D0E">
        <w:t>p</w:t>
      </w:r>
      <w:r w:rsidRPr="00204D17">
        <w:t xml:space="preserve">rivate </w:t>
      </w:r>
      <w:r w:rsidR="00122D0E">
        <w:t>p</w:t>
      </w:r>
      <w:r w:rsidRPr="00204D17">
        <w:t>lacement</w:t>
      </w:r>
      <w:r w:rsidR="009F5178">
        <w:t xml:space="preserve"> referred to in the previous </w:t>
      </w:r>
      <w:r w:rsidR="007B067E">
        <w:t xml:space="preserve">press release announced by CoinShares and </w:t>
      </w:r>
      <w:r w:rsidR="007B067E" w:rsidRPr="003E43AE">
        <w:rPr>
          <w:lang w:bidi="he-IL"/>
        </w:rPr>
        <w:t>Odysseus Holdings</w:t>
      </w:r>
      <w:r w:rsidR="007B067E">
        <w:rPr>
          <w:lang w:bidi="he-IL"/>
        </w:rPr>
        <w:t xml:space="preserve"> jointly</w:t>
      </w:r>
      <w:r w:rsidRPr="000804BB">
        <w:t>.</w:t>
      </w:r>
      <w:r>
        <w:rPr>
          <w:rStyle w:val="FootnoteReference"/>
        </w:rPr>
        <w:footnoteReference w:id="6"/>
      </w:r>
      <w:r>
        <w:t xml:space="preserve"> Based on the number </w:t>
      </w:r>
      <w:r w:rsidR="00407EA4">
        <w:t xml:space="preserve">ordinary </w:t>
      </w:r>
      <w:r>
        <w:t xml:space="preserve">shares in CoinShares as of 8 September 2025, the Equity Exchange Ratio would be equal to approximately 1.8116 </w:t>
      </w:r>
      <w:r w:rsidRPr="00637029">
        <w:t>Odysseus Holdings</w:t>
      </w:r>
      <w:r>
        <w:t xml:space="preserve"> Ordinary Shares.</w:t>
      </w:r>
      <w:r w:rsidR="00B9274A">
        <w:rPr>
          <w:rStyle w:val="FootnoteReference"/>
        </w:rPr>
        <w:footnoteReference w:id="7"/>
      </w:r>
      <w:r w:rsidRPr="00D95B92">
        <w:t xml:space="preserve"> </w:t>
      </w:r>
      <w:r>
        <w:t xml:space="preserve">The minimum Equity Exchange Ratio is approximately 1.7782 </w:t>
      </w:r>
      <w:r w:rsidRPr="00637029">
        <w:t>Odysseus Holdings</w:t>
      </w:r>
      <w:r>
        <w:t xml:space="preserve"> Ordinary Shares.</w:t>
      </w:r>
      <w:r>
        <w:rPr>
          <w:rStyle w:val="FootnoteReference"/>
        </w:rPr>
        <w:footnoteReference w:id="8"/>
      </w:r>
      <w:r>
        <w:t xml:space="preserve"> The maximum Equity Exchange Ratio is approximately 1.8319 Odysseus Ordinary Shares.</w:t>
      </w:r>
      <w:r>
        <w:rPr>
          <w:rStyle w:val="FootnoteReference"/>
        </w:rPr>
        <w:footnoteReference w:id="9"/>
      </w:r>
    </w:p>
    <w:p w14:paraId="0377D9E6" w14:textId="3DE0E78F" w:rsidR="004B435B" w:rsidRPr="000804BB" w:rsidRDefault="004B435B" w:rsidP="004B435B">
      <w:pPr>
        <w:pStyle w:val="wText"/>
        <w:rPr>
          <w:lang w:val="en-GB"/>
        </w:rPr>
      </w:pPr>
      <w:bookmarkStart w:id="0" w:name="_Hlk207886635"/>
      <w:r w:rsidRPr="000804BB">
        <w:rPr>
          <w:lang w:val="en-GB"/>
        </w:rPr>
        <w:t xml:space="preserve">Based on the average volume-weighted price during the last ten trading days for CoinShares’ </w:t>
      </w:r>
      <w:r w:rsidR="00B9274A">
        <w:rPr>
          <w:lang w:val="en-GB"/>
        </w:rPr>
        <w:t xml:space="preserve">ordinary </w:t>
      </w:r>
      <w:r w:rsidRPr="000804BB">
        <w:rPr>
          <w:lang w:val="en-GB"/>
        </w:rPr>
        <w:t>share</w:t>
      </w:r>
      <w:r w:rsidR="00B515A0">
        <w:rPr>
          <w:lang w:val="en-GB"/>
        </w:rPr>
        <w:t>s</w:t>
      </w:r>
      <w:r w:rsidRPr="000804BB">
        <w:rPr>
          <w:lang w:val="en-GB"/>
        </w:rPr>
        <w:t xml:space="preserve"> on Nasdaq Stockholm, the </w:t>
      </w:r>
      <w:r>
        <w:rPr>
          <w:lang w:val="en-GB"/>
        </w:rPr>
        <w:t xml:space="preserve">approximate </w:t>
      </w:r>
      <w:r w:rsidRPr="000804BB">
        <w:rPr>
          <w:lang w:val="en-GB"/>
        </w:rPr>
        <w:t>Transaction</w:t>
      </w:r>
      <w:r>
        <w:rPr>
          <w:lang w:val="en-GB"/>
        </w:rPr>
        <w:t xml:space="preserve"> consideration calculated </w:t>
      </w:r>
      <w:r w:rsidRPr="00CC05F3">
        <w:t xml:space="preserve">based on the shares and options outstanding as of 8 September 2025 in accordance with terms of the </w:t>
      </w:r>
      <w:r w:rsidR="0014614F">
        <w:t>Business Combination Agreement</w:t>
      </w:r>
      <w:r>
        <w:rPr>
          <w:lang w:val="en-GB"/>
        </w:rPr>
        <w:t xml:space="preserve"> represents </w:t>
      </w:r>
      <w:r w:rsidRPr="000804BB">
        <w:rPr>
          <w:lang w:val="en-GB"/>
        </w:rPr>
        <w:t>a premium of</w:t>
      </w:r>
      <w:r>
        <w:rPr>
          <w:lang w:val="en-GB"/>
        </w:rPr>
        <w:t xml:space="preserve"> approximately</w:t>
      </w:r>
      <w:r w:rsidRPr="000804BB">
        <w:rPr>
          <w:lang w:val="en-GB"/>
        </w:rPr>
        <w:t>:</w:t>
      </w:r>
      <w:r w:rsidRPr="000804BB">
        <w:rPr>
          <w:rStyle w:val="FootnoteReference"/>
          <w:lang w:val="en-GB"/>
        </w:rPr>
        <w:footnoteReference w:id="10"/>
      </w:r>
      <w:r w:rsidRPr="000804BB">
        <w:rPr>
          <w:lang w:val="en-GB"/>
        </w:rPr>
        <w:t xml:space="preserve"> </w:t>
      </w:r>
    </w:p>
    <w:p w14:paraId="27EEED26" w14:textId="6E15EB24" w:rsidR="004B435B" w:rsidRPr="000804BB" w:rsidRDefault="007A1245" w:rsidP="004B435B">
      <w:pPr>
        <w:pStyle w:val="wBullet"/>
        <w:ind w:hanging="360"/>
        <w:rPr>
          <w:lang w:eastAsia="sv-SE"/>
        </w:rPr>
      </w:pPr>
      <w:r>
        <w:rPr>
          <w:lang w:eastAsia="sv-SE"/>
        </w:rPr>
        <w:t>30</w:t>
      </w:r>
      <w:r w:rsidR="004B435B" w:rsidRPr="000804BB">
        <w:rPr>
          <w:lang w:eastAsia="sv-SE"/>
        </w:rPr>
        <w:t>.</w:t>
      </w:r>
      <w:r>
        <w:rPr>
          <w:lang w:eastAsia="sv-SE"/>
        </w:rPr>
        <w:t>6</w:t>
      </w:r>
      <w:r w:rsidRPr="000804BB">
        <w:rPr>
          <w:lang w:eastAsia="sv-SE"/>
        </w:rPr>
        <w:t xml:space="preserve"> </w:t>
      </w:r>
      <w:r w:rsidR="004B435B" w:rsidRPr="000804BB">
        <w:rPr>
          <w:lang w:eastAsia="sv-SE"/>
        </w:rPr>
        <w:t>percent compared to the closing share price of SEK 132.6 on Nasdaq Stockholm on 5 September 2025, which was the last trading day</w:t>
      </w:r>
      <w:r w:rsidR="004B435B">
        <w:rPr>
          <w:rStyle w:val="FootnoteReference"/>
          <w:lang w:eastAsia="sv-SE"/>
        </w:rPr>
        <w:footnoteReference w:id="11"/>
      </w:r>
      <w:r w:rsidR="004B435B" w:rsidRPr="000804BB">
        <w:rPr>
          <w:lang w:eastAsia="sv-SE"/>
        </w:rPr>
        <w:t xml:space="preserve"> prior to the announcement of the </w:t>
      </w:r>
      <w:bookmarkStart w:id="1" w:name="_Hlk207536539"/>
      <w:r w:rsidR="004B435B" w:rsidRPr="000804BB">
        <w:rPr>
          <w:lang w:eastAsia="sv-SE"/>
        </w:rPr>
        <w:t>Transaction</w:t>
      </w:r>
      <w:bookmarkEnd w:id="1"/>
      <w:r w:rsidR="004B435B" w:rsidRPr="000804BB">
        <w:rPr>
          <w:lang w:eastAsia="sv-SE"/>
        </w:rPr>
        <w:t>;</w:t>
      </w:r>
    </w:p>
    <w:p w14:paraId="140CA52C" w14:textId="1D567D0B" w:rsidR="004B435B" w:rsidRPr="000804BB" w:rsidRDefault="007A1245" w:rsidP="004B435B">
      <w:pPr>
        <w:pStyle w:val="wBullet"/>
        <w:ind w:hanging="360"/>
        <w:rPr>
          <w:lang w:eastAsia="sv-SE"/>
        </w:rPr>
      </w:pPr>
      <w:r>
        <w:rPr>
          <w:lang w:eastAsia="sv-SE"/>
        </w:rPr>
        <w:t>53</w:t>
      </w:r>
      <w:r w:rsidR="004B435B" w:rsidRPr="000804BB">
        <w:rPr>
          <w:lang w:eastAsia="sv-SE"/>
        </w:rPr>
        <w:t>.</w:t>
      </w:r>
      <w:r>
        <w:rPr>
          <w:lang w:eastAsia="sv-SE"/>
        </w:rPr>
        <w:t>0</w:t>
      </w:r>
      <w:r w:rsidRPr="000804BB">
        <w:rPr>
          <w:lang w:eastAsia="sv-SE"/>
        </w:rPr>
        <w:t xml:space="preserve"> </w:t>
      </w:r>
      <w:r w:rsidR="004B435B" w:rsidRPr="000804BB">
        <w:rPr>
          <w:lang w:eastAsia="sv-SE"/>
        </w:rPr>
        <w:t>percent compared to the volume weighted average trading price of SEK 113.2 for the shares on Nasdaq Stockholm during the last 30 trading days</w:t>
      </w:r>
      <w:r w:rsidR="004B435B">
        <w:rPr>
          <w:rStyle w:val="FootnoteReference"/>
          <w:lang w:eastAsia="sv-SE"/>
        </w:rPr>
        <w:footnoteReference w:id="12"/>
      </w:r>
      <w:r w:rsidR="004B435B" w:rsidRPr="000804BB">
        <w:rPr>
          <w:lang w:eastAsia="sv-SE"/>
        </w:rPr>
        <w:t xml:space="preserve"> prior to the announcement </w:t>
      </w:r>
      <w:r w:rsidR="004B435B" w:rsidRPr="000804BB">
        <w:t>of</w:t>
      </w:r>
      <w:r w:rsidR="004B435B" w:rsidRPr="000804BB">
        <w:rPr>
          <w:lang w:eastAsia="sv-SE"/>
        </w:rPr>
        <w:t xml:space="preserve"> the Transaction;</w:t>
      </w:r>
      <w:r w:rsidR="004B435B">
        <w:rPr>
          <w:lang w:eastAsia="sv-SE"/>
        </w:rPr>
        <w:t xml:space="preserve"> and</w:t>
      </w:r>
    </w:p>
    <w:p w14:paraId="44293EB5" w14:textId="37E4804F" w:rsidR="004B435B" w:rsidRPr="000804BB" w:rsidRDefault="007A1245" w:rsidP="004B435B">
      <w:pPr>
        <w:pStyle w:val="wBullet"/>
        <w:ind w:hanging="360"/>
        <w:rPr>
          <w:lang w:eastAsia="sv-SE"/>
        </w:rPr>
      </w:pPr>
      <w:r w:rsidRPr="000804BB">
        <w:rPr>
          <w:lang w:eastAsia="sv-SE"/>
        </w:rPr>
        <w:t>8</w:t>
      </w:r>
      <w:r>
        <w:rPr>
          <w:lang w:eastAsia="sv-SE"/>
        </w:rPr>
        <w:t>9</w:t>
      </w:r>
      <w:r w:rsidR="004B435B" w:rsidRPr="000804BB">
        <w:rPr>
          <w:lang w:eastAsia="sv-SE"/>
        </w:rPr>
        <w:t>.</w:t>
      </w:r>
      <w:r>
        <w:rPr>
          <w:lang w:eastAsia="sv-SE"/>
        </w:rPr>
        <w:t>0</w:t>
      </w:r>
      <w:r w:rsidRPr="000804BB">
        <w:rPr>
          <w:lang w:eastAsia="sv-SE"/>
        </w:rPr>
        <w:t xml:space="preserve"> </w:t>
      </w:r>
      <w:r w:rsidR="004B435B" w:rsidRPr="000804BB">
        <w:rPr>
          <w:lang w:eastAsia="sv-SE"/>
        </w:rPr>
        <w:t>percent compared to the volume weighted average trading price of SEK 91.6 for the shares on Nasdaq Stockholm during the last 180 trading days</w:t>
      </w:r>
      <w:r w:rsidR="004B435B">
        <w:rPr>
          <w:rStyle w:val="FootnoteReference"/>
          <w:lang w:eastAsia="sv-SE"/>
        </w:rPr>
        <w:footnoteReference w:id="13"/>
      </w:r>
      <w:r w:rsidR="004B435B" w:rsidRPr="000804BB">
        <w:rPr>
          <w:lang w:eastAsia="sv-SE"/>
        </w:rPr>
        <w:t xml:space="preserve"> prior to the announcement of the Transaction.</w:t>
      </w:r>
    </w:p>
    <w:p w14:paraId="57CD40B5" w14:textId="466A790B" w:rsidR="00073AD7" w:rsidRPr="00D42B02" w:rsidRDefault="00D42B02" w:rsidP="00CC1883">
      <w:pPr>
        <w:pStyle w:val="wText"/>
        <w:rPr>
          <w:b/>
          <w:bCs/>
        </w:rPr>
      </w:pPr>
      <w:r w:rsidRPr="00D42B02">
        <w:rPr>
          <w:b/>
          <w:bCs/>
        </w:rPr>
        <w:t xml:space="preserve">The evaluation of the Transaction by the </w:t>
      </w:r>
      <w:bookmarkStart w:id="2" w:name="_Hlk207746546"/>
      <w:r w:rsidRPr="00D42B02">
        <w:rPr>
          <w:b/>
          <w:bCs/>
        </w:rPr>
        <w:t>Board</w:t>
      </w:r>
      <w:r w:rsidR="004B0BD0">
        <w:rPr>
          <w:b/>
          <w:bCs/>
        </w:rPr>
        <w:t xml:space="preserve"> of Directors</w:t>
      </w:r>
      <w:bookmarkEnd w:id="2"/>
    </w:p>
    <w:p w14:paraId="092CAC60" w14:textId="1D44C38F" w:rsidR="00CB311F" w:rsidRDefault="00CB311F" w:rsidP="00CC1883">
      <w:pPr>
        <w:pStyle w:val="wText"/>
      </w:pPr>
      <w:bookmarkStart w:id="3" w:name="_Hlk207552210"/>
      <w:bookmarkEnd w:id="0"/>
      <w:r w:rsidRPr="00CB311F">
        <w:t xml:space="preserve">The </w:t>
      </w:r>
      <w:r w:rsidR="004B0BD0" w:rsidRPr="004B0BD0">
        <w:t>Board of Director</w:t>
      </w:r>
      <w:r w:rsidR="00BC61CC">
        <w:t>s</w:t>
      </w:r>
      <w:r w:rsidR="004B0BD0">
        <w:t>’</w:t>
      </w:r>
      <w:r w:rsidRPr="00CB311F">
        <w:t xml:space="preserve"> opinion of the </w:t>
      </w:r>
      <w:r>
        <w:t>Transaction</w:t>
      </w:r>
      <w:r w:rsidRPr="00CB311F">
        <w:t xml:space="preserve"> is based on an assessment of a number of factors that the </w:t>
      </w:r>
      <w:r w:rsidR="00BC61CC" w:rsidRPr="004B0BD0">
        <w:t>Board of Director</w:t>
      </w:r>
      <w:r w:rsidR="00BC61CC">
        <w:t>s</w:t>
      </w:r>
      <w:r w:rsidRPr="00CB311F">
        <w:t xml:space="preserve"> has considered relevant in relation to the evaluation of the </w:t>
      </w:r>
      <w:r>
        <w:t>Transaction</w:t>
      </w:r>
      <w:r w:rsidRPr="00CB311F">
        <w:t xml:space="preserve">. These factors include, but are not limited to strategic benefits of the </w:t>
      </w:r>
      <w:r>
        <w:t>Transaction</w:t>
      </w:r>
      <w:r w:rsidRPr="00CB311F">
        <w:t xml:space="preserve"> and the share premium for </w:t>
      </w:r>
      <w:r w:rsidR="00AB1033">
        <w:t>CoinShare</w:t>
      </w:r>
      <w:r w:rsidR="009637E9">
        <w:t>s</w:t>
      </w:r>
      <w:r w:rsidRPr="00CB311F">
        <w:t>’ shareholders.</w:t>
      </w:r>
      <w:r w:rsidR="00BC61CC">
        <w:t xml:space="preserve"> </w:t>
      </w:r>
      <w:r w:rsidR="00BC61CC" w:rsidRPr="00DE4A5E">
        <w:rPr>
          <w:lang w:val="en-GB"/>
        </w:rPr>
        <w:t xml:space="preserve">The </w:t>
      </w:r>
      <w:r w:rsidR="00BC61CC">
        <w:rPr>
          <w:lang w:val="en-GB"/>
        </w:rPr>
        <w:t>Board of Directors believe that the Transaction</w:t>
      </w:r>
      <w:r w:rsidR="00BC61CC" w:rsidRPr="00DE4A5E">
        <w:rPr>
          <w:lang w:val="en-GB"/>
        </w:rPr>
        <w:t xml:space="preserve"> represents a strategic opportunity to reposition CoinShares within the U.S. capital markets, enabling </w:t>
      </w:r>
      <w:r w:rsidR="00BC61CC">
        <w:rPr>
          <w:lang w:val="en-GB"/>
        </w:rPr>
        <w:t xml:space="preserve">CoinShares </w:t>
      </w:r>
      <w:r w:rsidR="00BC61CC" w:rsidRPr="00DE4A5E">
        <w:rPr>
          <w:lang w:val="en-GB"/>
        </w:rPr>
        <w:t xml:space="preserve">to access a deeper pool of institutional investors, benefit from enhanced research coverage, and align its listing venue </w:t>
      </w:r>
      <w:r w:rsidR="00BC61CC">
        <w:rPr>
          <w:lang w:val="en-GB"/>
        </w:rPr>
        <w:t>w</w:t>
      </w:r>
      <w:r w:rsidR="00BC61CC" w:rsidRPr="00FB719E">
        <w:rPr>
          <w:lang w:val="en-GB"/>
        </w:rPr>
        <w:t xml:space="preserve">ith its global growth ambitions including building brand awareness for new product launches </w:t>
      </w:r>
      <w:r w:rsidR="00BC61CC" w:rsidRPr="00FB719E">
        <w:rPr>
          <w:lang w:val="en-GB"/>
        </w:rPr>
        <w:lastRenderedPageBreak/>
        <w:t xml:space="preserve">in the U.S. as a U.S. listed company, which will support </w:t>
      </w:r>
      <w:r w:rsidR="00BC61CC">
        <w:rPr>
          <w:lang w:val="en-GB"/>
        </w:rPr>
        <w:t>CoinShare</w:t>
      </w:r>
      <w:r w:rsidR="00BC61CC" w:rsidRPr="00FB719E">
        <w:rPr>
          <w:lang w:val="en-GB"/>
        </w:rPr>
        <w:t>s</w:t>
      </w:r>
      <w:r w:rsidR="00BC61CC">
        <w:rPr>
          <w:lang w:val="en-GB"/>
        </w:rPr>
        <w:t>’</w:t>
      </w:r>
      <w:r w:rsidR="00BC61CC" w:rsidRPr="00FB719E">
        <w:rPr>
          <w:lang w:val="en-GB"/>
        </w:rPr>
        <w:t xml:space="preserve"> strategic entry into the U.S. </w:t>
      </w:r>
      <w:r w:rsidR="00BC61CC">
        <w:rPr>
          <w:lang w:val="en-GB"/>
        </w:rPr>
        <w:t>marketplace</w:t>
      </w:r>
      <w:r w:rsidR="00BC61CC" w:rsidRPr="00FB719E">
        <w:rPr>
          <w:lang w:val="en-GB"/>
        </w:rPr>
        <w:t xml:space="preserve">, </w:t>
      </w:r>
      <w:r w:rsidR="00BC61CC" w:rsidRPr="009A5F3A">
        <w:t>which it believes offers potential for revenue growth</w:t>
      </w:r>
      <w:r w:rsidR="00BE0F57">
        <w:t xml:space="preserve">. </w:t>
      </w:r>
    </w:p>
    <w:p w14:paraId="2B1E3C22" w14:textId="541B2D9D" w:rsidR="00AA3818" w:rsidRDefault="00CB311F" w:rsidP="00CC1883">
      <w:pPr>
        <w:pStyle w:val="wText"/>
      </w:pPr>
      <w:r>
        <w:t>Furthermore, the Board</w:t>
      </w:r>
      <w:r w:rsidR="00433239">
        <w:t xml:space="preserve"> of Directors</w:t>
      </w:r>
      <w:r>
        <w:t xml:space="preserve"> has </w:t>
      </w:r>
      <w:r w:rsidR="00D01DFA" w:rsidRPr="009F3701">
        <w:t>obtained a fairness opinion</w:t>
      </w:r>
      <w:r w:rsidR="00D01DFA">
        <w:t xml:space="preserve"> dated</w:t>
      </w:r>
      <w:r w:rsidRPr="008275B4">
        <w:t xml:space="preserve"> </w:t>
      </w:r>
      <w:r w:rsidR="00056D50">
        <w:t xml:space="preserve">7 </w:t>
      </w:r>
      <w:r w:rsidR="00807759">
        <w:t xml:space="preserve">September </w:t>
      </w:r>
      <w:r w:rsidR="00D01DFA">
        <w:t>2025</w:t>
      </w:r>
      <w:r w:rsidR="00D01DFA" w:rsidRPr="009F3701">
        <w:t xml:space="preserve"> issued by </w:t>
      </w:r>
      <w:r w:rsidR="00270C4B">
        <w:rPr>
          <w:lang w:val="en-GB"/>
        </w:rPr>
        <w:t>Eight Advisory UK Limited</w:t>
      </w:r>
      <w:r w:rsidR="00C44359">
        <w:rPr>
          <w:lang w:val="en-GB"/>
        </w:rPr>
        <w:t xml:space="preserve"> </w:t>
      </w:r>
      <w:r w:rsidR="00D01DFA" w:rsidRPr="008275B4">
        <w:t>(</w:t>
      </w:r>
      <w:r w:rsidR="00DC0B73">
        <w:t xml:space="preserve">the </w:t>
      </w:r>
      <w:r w:rsidR="00D01DFA" w:rsidRPr="008275B4">
        <w:t>“</w:t>
      </w:r>
      <w:r w:rsidR="00D01DFA" w:rsidRPr="008275B4">
        <w:rPr>
          <w:b/>
          <w:bCs/>
        </w:rPr>
        <w:t>Fairness Opinion</w:t>
      </w:r>
      <w:r w:rsidR="00D01DFA" w:rsidRPr="008275B4">
        <w:t>”)</w:t>
      </w:r>
      <w:r w:rsidR="00D01DFA" w:rsidRPr="009F3701">
        <w:t xml:space="preserve"> reflecting their opinion as of that date that, on the basis of the considerations therein, the consideration to be paid by </w:t>
      </w:r>
      <w:r w:rsidR="00D01DFA" w:rsidRPr="009C4BD2">
        <w:t>Odysseus Holdings</w:t>
      </w:r>
      <w:r w:rsidR="00D01DFA" w:rsidRPr="009F3701">
        <w:t xml:space="preserve"> is fair, from a financial point of view, to </w:t>
      </w:r>
      <w:r w:rsidR="00D01DFA">
        <w:t>CoinShares</w:t>
      </w:r>
      <w:r w:rsidRPr="008275B4">
        <w:t xml:space="preserve"> </w:t>
      </w:r>
      <w:r>
        <w:t xml:space="preserve">in accordance with Rule II.19 and III.3 of the </w:t>
      </w:r>
      <w:r w:rsidRPr="009E2732">
        <w:t>Takeover rules for Nasdaq Stockholm and Nordic Growth Market NGM (the “</w:t>
      </w:r>
      <w:r w:rsidRPr="009E2732">
        <w:rPr>
          <w:b/>
          <w:bCs/>
        </w:rPr>
        <w:t>Takeover Rules</w:t>
      </w:r>
      <w:r w:rsidRPr="009E2732">
        <w:t>”</w:t>
      </w:r>
      <w:r>
        <w:t>).</w:t>
      </w:r>
    </w:p>
    <w:bookmarkEnd w:id="3"/>
    <w:p w14:paraId="43D5399A" w14:textId="51FC9D08" w:rsidR="00C44359" w:rsidRDefault="00C44359" w:rsidP="00CC1883">
      <w:pPr>
        <w:pStyle w:val="wText"/>
      </w:pPr>
      <w:r w:rsidRPr="00C44359">
        <w:t xml:space="preserve">The Board </w:t>
      </w:r>
      <w:r w:rsidR="00084551">
        <w:t xml:space="preserve">of Directors </w:t>
      </w:r>
      <w:r w:rsidRPr="00C44359">
        <w:t xml:space="preserve">considers the </w:t>
      </w:r>
      <w:r>
        <w:t>c</w:t>
      </w:r>
      <w:r w:rsidRPr="00C44359">
        <w:t xml:space="preserve">onsideration to be fair, from a financial point of view to the </w:t>
      </w:r>
      <w:r>
        <w:t>shareholders of CoinShares</w:t>
      </w:r>
      <w:r w:rsidRPr="00C44359">
        <w:t xml:space="preserve"> and this view is supported by </w:t>
      </w:r>
      <w:r>
        <w:t xml:space="preserve">the </w:t>
      </w:r>
      <w:r w:rsidR="00DC0B73">
        <w:t>F</w:t>
      </w:r>
      <w:r w:rsidR="00DC0B73" w:rsidRPr="00C44359">
        <w:t xml:space="preserve">airness </w:t>
      </w:r>
      <w:r w:rsidR="00DC0B73">
        <w:t>O</w:t>
      </w:r>
      <w:r w:rsidR="00DC0B73" w:rsidRPr="00C44359">
        <w:t xml:space="preserve">pinion </w:t>
      </w:r>
      <w:r w:rsidRPr="00C44359">
        <w:t xml:space="preserve">from </w:t>
      </w:r>
      <w:r>
        <w:rPr>
          <w:lang w:val="en-GB"/>
        </w:rPr>
        <w:t>Eight Advisory UK Limited</w:t>
      </w:r>
      <w:r w:rsidRPr="00C44359">
        <w:t xml:space="preserve">, to the effect that, as of such date and based upon and subject to the assumptions and limitations set forth therein, the </w:t>
      </w:r>
      <w:r>
        <w:t>c</w:t>
      </w:r>
      <w:r w:rsidRPr="00C44359">
        <w:t xml:space="preserve">onsideration to be received in the </w:t>
      </w:r>
      <w:r>
        <w:t>Transaction</w:t>
      </w:r>
      <w:r w:rsidRPr="00C44359">
        <w:t xml:space="preserve"> by </w:t>
      </w:r>
      <w:r>
        <w:t>the shareholders of</w:t>
      </w:r>
      <w:r w:rsidRPr="00C44359">
        <w:t xml:space="preserve"> </w:t>
      </w:r>
      <w:r>
        <w:t>CoinShares</w:t>
      </w:r>
      <w:r w:rsidRPr="00C44359">
        <w:t xml:space="preserve"> is fair, from a financial point of view, to such </w:t>
      </w:r>
      <w:r>
        <w:t>share</w:t>
      </w:r>
      <w:r w:rsidRPr="00C44359">
        <w:t>holders</w:t>
      </w:r>
      <w:r>
        <w:t>.</w:t>
      </w:r>
    </w:p>
    <w:p w14:paraId="2C4D658F" w14:textId="680ECE8A" w:rsidR="00C44359" w:rsidRDefault="00C44359" w:rsidP="00CC1883">
      <w:pPr>
        <w:pStyle w:val="wText"/>
      </w:pPr>
      <w:r>
        <w:t xml:space="preserve">Based on the above, the Board </w:t>
      </w:r>
      <w:r w:rsidR="009214B4">
        <w:t xml:space="preserve">of Directors </w:t>
      </w:r>
      <w:r>
        <w:t>unanimously recommends CoinShares shareholders to vote in favor of the Transaction</w:t>
      </w:r>
      <w:r w:rsidR="00F95F4C">
        <w:t xml:space="preserve"> on the court meeting </w:t>
      </w:r>
      <w:r w:rsidR="00F95F4C">
        <w:rPr>
          <w:lang w:val="en-GB"/>
        </w:rPr>
        <w:t xml:space="preserve">which is expected to be held on or </w:t>
      </w:r>
      <w:r w:rsidR="00F95F4C" w:rsidRPr="00AF657C">
        <w:rPr>
          <w:lang w:val="en-GB"/>
        </w:rPr>
        <w:t>about 8 December</w:t>
      </w:r>
      <w:r w:rsidR="00F95F4C">
        <w:rPr>
          <w:lang w:val="en-GB"/>
        </w:rPr>
        <w:t xml:space="preserve"> 2025.</w:t>
      </w:r>
    </w:p>
    <w:p w14:paraId="395A347A" w14:textId="77777777" w:rsidR="008558A1" w:rsidRDefault="008558A1" w:rsidP="00CC1883">
      <w:pPr>
        <w:pStyle w:val="wText"/>
        <w:rPr>
          <w:b/>
          <w:bCs/>
        </w:rPr>
      </w:pPr>
      <w:r w:rsidRPr="00471373">
        <w:rPr>
          <w:b/>
          <w:bCs/>
        </w:rPr>
        <w:t>Impact on C</w:t>
      </w:r>
      <w:r>
        <w:rPr>
          <w:b/>
          <w:bCs/>
        </w:rPr>
        <w:t>oin</w:t>
      </w:r>
      <w:r w:rsidRPr="00471373">
        <w:rPr>
          <w:b/>
          <w:bCs/>
        </w:rPr>
        <w:t>S</w:t>
      </w:r>
      <w:r>
        <w:rPr>
          <w:b/>
          <w:bCs/>
        </w:rPr>
        <w:t>hares</w:t>
      </w:r>
      <w:r w:rsidRPr="00471373">
        <w:rPr>
          <w:b/>
          <w:bCs/>
        </w:rPr>
        <w:t xml:space="preserve"> and its employees</w:t>
      </w:r>
    </w:p>
    <w:p w14:paraId="7C32B189" w14:textId="123CBA13" w:rsidR="00F95F4C" w:rsidRDefault="00F95F4C" w:rsidP="00CC1883">
      <w:pPr>
        <w:pStyle w:val="wText"/>
      </w:pPr>
      <w:r>
        <w:t>T</w:t>
      </w:r>
      <w:r w:rsidRPr="00AE104A">
        <w:t xml:space="preserve">here are currently no decisions </w:t>
      </w:r>
      <w:r w:rsidR="00063CB6">
        <w:t>concerning</w:t>
      </w:r>
      <w:r w:rsidRPr="00AE104A">
        <w:t xml:space="preserve"> any material changes </w:t>
      </w:r>
      <w:r w:rsidR="00063CB6">
        <w:t>to</w:t>
      </w:r>
      <w:r w:rsidRPr="00AE104A">
        <w:t xml:space="preserve"> </w:t>
      </w:r>
      <w:r>
        <w:t>CoinShares’</w:t>
      </w:r>
      <w:r w:rsidRPr="00AE104A">
        <w:t xml:space="preserve"> employees or to the existing organization and operations, including the terms of employment and locations of the business</w:t>
      </w:r>
      <w:r>
        <w:t>.</w:t>
      </w:r>
    </w:p>
    <w:p w14:paraId="7EF6EE56" w14:textId="77777777" w:rsidR="00BA46CA" w:rsidRDefault="00BA46CA" w:rsidP="00BA46CA">
      <w:pPr>
        <w:pStyle w:val="wText"/>
        <w:rPr>
          <w:b/>
          <w:bCs/>
        </w:rPr>
      </w:pPr>
      <w:r w:rsidRPr="00471373">
        <w:rPr>
          <w:b/>
          <w:bCs/>
        </w:rPr>
        <w:t xml:space="preserve">Brief description of </w:t>
      </w:r>
      <w:r w:rsidRPr="005F42F6">
        <w:rPr>
          <w:b/>
          <w:bCs/>
        </w:rPr>
        <w:t>Odysseus Holdings</w:t>
      </w:r>
    </w:p>
    <w:p w14:paraId="61DCB336" w14:textId="67204E83" w:rsidR="00BA46CA" w:rsidRPr="00BA46CA" w:rsidRDefault="00BA46CA" w:rsidP="00CC1883">
      <w:pPr>
        <w:pStyle w:val="wText"/>
        <w:rPr>
          <w:lang w:val="en-GB"/>
        </w:rPr>
      </w:pPr>
      <w:r w:rsidRPr="00BA46CA">
        <w:t xml:space="preserve">Odysseus Holdings is a newly formed Jersey company established pursuant to the BCA. It serves solely as a vehicle within the predetermined transaction structure initiated by CoinShares and Vine Hill in accordance with the BCA. </w:t>
      </w:r>
    </w:p>
    <w:p w14:paraId="1D136BF1" w14:textId="6DB207A8" w:rsidR="00330778" w:rsidRDefault="00330778" w:rsidP="00CC1883">
      <w:pPr>
        <w:pStyle w:val="wText"/>
        <w:rPr>
          <w:b/>
          <w:bCs/>
        </w:rPr>
      </w:pPr>
      <w:r w:rsidRPr="00471373">
        <w:rPr>
          <w:b/>
          <w:bCs/>
        </w:rPr>
        <w:t xml:space="preserve">Brief description of </w:t>
      </w:r>
      <w:r>
        <w:rPr>
          <w:b/>
          <w:bCs/>
        </w:rPr>
        <w:t>CoinShares</w:t>
      </w:r>
    </w:p>
    <w:p w14:paraId="3529579E" w14:textId="7AE43F19" w:rsidR="00E15725" w:rsidRPr="00E15725" w:rsidRDefault="00E15725" w:rsidP="00E15725">
      <w:pPr>
        <w:pStyle w:val="wText"/>
      </w:pPr>
      <w:r w:rsidRPr="00E15725">
        <w:t xml:space="preserve">CoinShares is a leading European asset manager </w:t>
      </w:r>
      <w:r w:rsidR="006C5733" w:rsidRPr="00E15725">
        <w:t>specializing</w:t>
      </w:r>
      <w:r w:rsidRPr="00E15725">
        <w:t xml:space="preserve"> in digital assets, that delivers a broad range of financial services across investment management, trading and securities to a wide array of clients that includes corporations, financial institutions and individuals. Focusing on crypto since 2013, the firm is headquartered in Jersey, with offices in France, Sweden, Switzerland, the UK and the US. CoinShares is regulated in Jersey by the Jersey Financial Services Commission, in France by the Autorité des marchés financiers, and in the U.S. by the Securities and Exchange Commission, the National Futures Association and the Financial Industry Regulatory Authority. CoinShares is publicly listed on Nasdaq Stockholm under the ticker CS and the OTCQX under the ticker CNSRF.</w:t>
      </w:r>
    </w:p>
    <w:p w14:paraId="3E57DCD0" w14:textId="77777777" w:rsidR="00330778" w:rsidRDefault="00330778" w:rsidP="00CC1883">
      <w:pPr>
        <w:pStyle w:val="wText"/>
        <w:rPr>
          <w:b/>
          <w:bCs/>
        </w:rPr>
      </w:pPr>
      <w:r w:rsidRPr="00471373">
        <w:rPr>
          <w:b/>
          <w:bCs/>
        </w:rPr>
        <w:t>Brief description of V</w:t>
      </w:r>
      <w:r>
        <w:rPr>
          <w:b/>
          <w:bCs/>
        </w:rPr>
        <w:t xml:space="preserve">ine </w:t>
      </w:r>
      <w:r w:rsidRPr="00471373">
        <w:rPr>
          <w:b/>
          <w:bCs/>
        </w:rPr>
        <w:t>H</w:t>
      </w:r>
      <w:r>
        <w:rPr>
          <w:b/>
          <w:bCs/>
        </w:rPr>
        <w:t>ill</w:t>
      </w:r>
    </w:p>
    <w:p w14:paraId="3B11CF1E" w14:textId="77777777" w:rsidR="00BA46CA" w:rsidRPr="00BA46CA" w:rsidRDefault="00BA46CA" w:rsidP="00BA46CA">
      <w:pPr>
        <w:pStyle w:val="wText"/>
        <w:rPr>
          <w:b/>
          <w:bCs/>
        </w:rPr>
      </w:pPr>
      <w:r w:rsidRPr="00BA46CA">
        <w:rPr>
          <w:lang w:val="en-GB"/>
        </w:rPr>
        <w:t xml:space="preserve">Vine Hill was established for the purpose of </w:t>
      </w:r>
      <w:r w:rsidRPr="00BA46CA">
        <w:t>effecting a merger, share exchange, asset acquisition, share purchase, reorganization or similar business combination with one or more businesses, and forms part of Vine Hill Capital Partners, which is a premier alternative investment manager dedicated to helping businesses achieve their full potential and unlocking shareholder value through leveraging the public markets. Vine Hill is publicly listed on the Nasdaq Stock Market under the ticker VCIC.</w:t>
      </w:r>
    </w:p>
    <w:p w14:paraId="1041D57D" w14:textId="77777777" w:rsidR="00270C4B" w:rsidRDefault="00270C4B" w:rsidP="00270C4B">
      <w:pPr>
        <w:pStyle w:val="wText"/>
        <w:rPr>
          <w:b/>
          <w:bCs/>
        </w:rPr>
      </w:pPr>
      <w:r w:rsidRPr="00FA1DB6">
        <w:rPr>
          <w:b/>
          <w:bCs/>
        </w:rPr>
        <w:t xml:space="preserve">Certain closely related party matters </w:t>
      </w:r>
    </w:p>
    <w:p w14:paraId="3D5FA54A" w14:textId="1DA954FA" w:rsidR="002A6BC7" w:rsidRPr="002A6BC7" w:rsidRDefault="002A6BC7" w:rsidP="002A6BC7">
      <w:pPr>
        <w:pStyle w:val="wText"/>
      </w:pPr>
      <w:r w:rsidRPr="002A6BC7">
        <w:t xml:space="preserve">Odysseus Holdings is wholly owned by Jeri-Lea Brown, who is affiliated with CoinShares through her employment in CoinShares as Corporate Secretary. Jeri-Lea Brown’s engagement in Odysseus Holdings is solely for the purposes of facilitating the Transaction as described herein and in accordance with Odysseus Holdings’ undertakings in the BCA. </w:t>
      </w:r>
    </w:p>
    <w:p w14:paraId="356E3CB3" w14:textId="0CD7876A" w:rsidR="00015D6C" w:rsidRPr="00FA1DB6" w:rsidRDefault="006C5733" w:rsidP="00015D6C">
      <w:pPr>
        <w:pStyle w:val="wText"/>
      </w:pPr>
      <w:r w:rsidRPr="000804BB">
        <w:lastRenderedPageBreak/>
        <w:t xml:space="preserve">As at the date of this announcement, Odysseus Holdings </w:t>
      </w:r>
      <w:r>
        <w:t xml:space="preserve">indirectly </w:t>
      </w:r>
      <w:r w:rsidRPr="000804BB">
        <w:t xml:space="preserve">holds </w:t>
      </w:r>
      <w:r>
        <w:t>2,000</w:t>
      </w:r>
      <w:r w:rsidRPr="000804BB">
        <w:t xml:space="preserve"> shares</w:t>
      </w:r>
      <w:r>
        <w:t xml:space="preserve"> and 5,608 options</w:t>
      </w:r>
      <w:r w:rsidRPr="000804BB">
        <w:t xml:space="preserve"> in CoinShares, corresponding to </w:t>
      </w:r>
      <w:r>
        <w:t>less than 0.001</w:t>
      </w:r>
      <w:r w:rsidRPr="000804BB">
        <w:t xml:space="preserve"> percent of the shares and votes in CoinShares.</w:t>
      </w:r>
      <w:r w:rsidR="00B00B03" w:rsidRPr="000804BB">
        <w:rPr>
          <w:rStyle w:val="FootnoteReference"/>
        </w:rPr>
        <w:footnoteReference w:id="14"/>
      </w:r>
      <w:r w:rsidRPr="000804BB">
        <w:t xml:space="preserve"> </w:t>
      </w:r>
      <w:r w:rsidR="002A6BC7" w:rsidRPr="002A6BC7">
        <w:t xml:space="preserve">Jeri-Lea Brown’s participation in the Transaction means that Section III of the Takeover Rules is applicable to the Transaction, entailing that CoinShares is obliged to obtain and announce a fairness opinion regarding the Transaction from an independent expert. As stated above under </w:t>
      </w:r>
      <w:r w:rsidR="00015D6C">
        <w:t>“</w:t>
      </w:r>
      <w:r w:rsidR="00015D6C" w:rsidRPr="00015D6C">
        <w:rPr>
          <w:i/>
          <w:iCs/>
        </w:rPr>
        <w:t>The evaluation of the Transaction by the Board of Directors</w:t>
      </w:r>
      <w:r w:rsidR="00015D6C">
        <w:t xml:space="preserve">” above, the </w:t>
      </w:r>
      <w:r w:rsidR="00015D6C" w:rsidRPr="00FA1DB6">
        <w:t xml:space="preserve">Board of Directors of </w:t>
      </w:r>
      <w:r w:rsidR="00015D6C">
        <w:t>CoinShares</w:t>
      </w:r>
      <w:r w:rsidR="00015D6C" w:rsidRPr="00FA1DB6">
        <w:t xml:space="preserve"> has obtained a fairness opinion</w:t>
      </w:r>
      <w:r w:rsidR="00015D6C">
        <w:t xml:space="preserve"> from </w:t>
      </w:r>
      <w:r w:rsidR="00015D6C">
        <w:rPr>
          <w:lang w:val="en-GB"/>
        </w:rPr>
        <w:t>Eight Advisory UK Limited</w:t>
      </w:r>
      <w:r w:rsidR="00015D6C" w:rsidRPr="00FA1DB6">
        <w:t>.</w:t>
      </w:r>
    </w:p>
    <w:p w14:paraId="2D7997CD" w14:textId="77777777" w:rsidR="00330778" w:rsidRDefault="00330778" w:rsidP="00CC1883">
      <w:pPr>
        <w:pStyle w:val="wText"/>
        <w:spacing w:after="240"/>
        <w:rPr>
          <w:b/>
          <w:bCs/>
        </w:rPr>
      </w:pPr>
      <w:r w:rsidRPr="00D853F6">
        <w:rPr>
          <w:b/>
          <w:bCs/>
        </w:rPr>
        <w:t xml:space="preserve">Advisors </w:t>
      </w:r>
    </w:p>
    <w:p w14:paraId="5F3FF2BB" w14:textId="1980D255" w:rsidR="00BD1A12" w:rsidRPr="00E20342" w:rsidRDefault="00BD1A12" w:rsidP="00CC1883">
      <w:pPr>
        <w:pStyle w:val="wText"/>
        <w:spacing w:after="240"/>
      </w:pPr>
      <w:r w:rsidRPr="00AD7FAA">
        <w:t>Stifel and Keefe, Bruyette &amp; Woods (KBW)</w:t>
      </w:r>
      <w:r w:rsidRPr="00E52E68">
        <w:t xml:space="preserve"> </w:t>
      </w:r>
      <w:r>
        <w:t>is</w:t>
      </w:r>
      <w:r w:rsidRPr="00E52E68">
        <w:t xml:space="preserve"> acting as financial advisor to </w:t>
      </w:r>
      <w:r>
        <w:t>CoinShares</w:t>
      </w:r>
      <w:r w:rsidRPr="00E52E68">
        <w:t xml:space="preserve"> in relation to the </w:t>
      </w:r>
      <w:r>
        <w:t>Transaction</w:t>
      </w:r>
      <w:r w:rsidRPr="00E52E68">
        <w:t xml:space="preserve">. </w:t>
      </w:r>
      <w:r>
        <w:t>White &amp; Case</w:t>
      </w:r>
      <w:r w:rsidRPr="00E52E68">
        <w:t xml:space="preserve"> (as to </w:t>
      </w:r>
      <w:r>
        <w:t>U.S</w:t>
      </w:r>
      <w:r w:rsidRPr="00E52E68">
        <w:t xml:space="preserve"> law</w:t>
      </w:r>
      <w:r>
        <w:t>, U.K. law and Swedish law</w:t>
      </w:r>
      <w:r w:rsidRPr="00E52E68">
        <w:t xml:space="preserve">) and </w:t>
      </w:r>
      <w:r>
        <w:t>Carey Olsen</w:t>
      </w:r>
      <w:r w:rsidRPr="00E52E68">
        <w:t xml:space="preserve"> (as to </w:t>
      </w:r>
      <w:r>
        <w:t>Jersey Law</w:t>
      </w:r>
      <w:r w:rsidR="00574ECA">
        <w:t xml:space="preserve"> and Cay</w:t>
      </w:r>
      <w:r w:rsidR="00D67F11">
        <w:t>man Islands Law</w:t>
      </w:r>
      <w:r w:rsidRPr="00E52E68">
        <w:t xml:space="preserve">) are acting as legal advisors to </w:t>
      </w:r>
      <w:r>
        <w:t>CoinShares</w:t>
      </w:r>
      <w:r w:rsidRPr="00E52E68">
        <w:t xml:space="preserve"> in relation to the </w:t>
      </w:r>
      <w:r>
        <w:t>Transaction</w:t>
      </w:r>
      <w:r w:rsidRPr="00E52E68">
        <w:t>.</w:t>
      </w:r>
    </w:p>
    <w:p w14:paraId="124F35F7" w14:textId="77777777" w:rsidR="00330778" w:rsidRDefault="00330778" w:rsidP="00CC1883">
      <w:pPr>
        <w:pStyle w:val="wText"/>
        <w:rPr>
          <w:b/>
          <w:bCs/>
          <w:lang w:val="en-GB"/>
        </w:rPr>
      </w:pPr>
      <w:r>
        <w:rPr>
          <w:b/>
          <w:bCs/>
          <w:lang w:val="en-GB"/>
        </w:rPr>
        <w:t xml:space="preserve">Information about the </w:t>
      </w:r>
      <w:r w:rsidRPr="00D704F1">
        <w:rPr>
          <w:b/>
          <w:bCs/>
          <w:lang w:val="en-GB"/>
        </w:rPr>
        <w:t>Transaction</w:t>
      </w:r>
    </w:p>
    <w:p w14:paraId="03D5F0B8" w14:textId="6A823BD2" w:rsidR="00330778" w:rsidRDefault="00330778" w:rsidP="00CC1883">
      <w:pPr>
        <w:pStyle w:val="wText"/>
        <w:rPr>
          <w:lang w:val="en-GB"/>
        </w:rPr>
      </w:pPr>
      <w:r w:rsidRPr="00E20342">
        <w:rPr>
          <w:lang w:val="en-GB"/>
        </w:rPr>
        <w:t xml:space="preserve">Information about the </w:t>
      </w:r>
      <w:r>
        <w:t>Transaction</w:t>
      </w:r>
      <w:r w:rsidRPr="00E20342">
        <w:rPr>
          <w:lang w:val="en-GB"/>
        </w:rPr>
        <w:t xml:space="preserve"> is made available at </w:t>
      </w:r>
      <w:r w:rsidRPr="004C1D7A">
        <w:rPr>
          <w:lang w:val="en-GB"/>
        </w:rPr>
        <w:t>www.coinshares-</w:t>
      </w:r>
      <w:r w:rsidR="006C5733">
        <w:rPr>
          <w:lang w:val="en-GB"/>
        </w:rPr>
        <w:t>bidco</w:t>
      </w:r>
      <w:r w:rsidRPr="004C1D7A">
        <w:rPr>
          <w:lang w:val="en-GB"/>
        </w:rPr>
        <w:t>.com</w:t>
      </w:r>
      <w:r>
        <w:rPr>
          <w:lang w:val="en-GB"/>
        </w:rPr>
        <w:t xml:space="preserve">. </w:t>
      </w:r>
    </w:p>
    <w:p w14:paraId="418067DC" w14:textId="77777777" w:rsidR="00330778" w:rsidRDefault="00330778" w:rsidP="00CC1883">
      <w:pPr>
        <w:pStyle w:val="wText"/>
        <w:rPr>
          <w:b/>
          <w:bCs/>
          <w:lang w:val="en-GB"/>
        </w:rPr>
      </w:pPr>
      <w:r>
        <w:rPr>
          <w:b/>
          <w:bCs/>
          <w:lang w:val="en-GB"/>
        </w:rPr>
        <w:t xml:space="preserve">For inquiries about the </w:t>
      </w:r>
      <w:r w:rsidRPr="00D704F1">
        <w:rPr>
          <w:b/>
          <w:bCs/>
          <w:lang w:val="en-GB"/>
        </w:rPr>
        <w:t>Transaction</w:t>
      </w:r>
      <w:r>
        <w:rPr>
          <w:b/>
          <w:bCs/>
          <w:lang w:val="en-GB"/>
        </w:rPr>
        <w:t xml:space="preserve">, please contact: </w:t>
      </w:r>
    </w:p>
    <w:p w14:paraId="2D348589" w14:textId="77777777" w:rsidR="00270C4B" w:rsidRDefault="00270C4B" w:rsidP="00270C4B">
      <w:pPr>
        <w:pStyle w:val="wText"/>
        <w:rPr>
          <w:i/>
          <w:iCs/>
          <w:lang w:val="en-GB"/>
        </w:rPr>
      </w:pPr>
      <w:r w:rsidRPr="00463320">
        <w:rPr>
          <w:i/>
          <w:iCs/>
          <w:lang w:val="en-GB"/>
        </w:rPr>
        <w:t>CoinShares</w:t>
      </w:r>
    </w:p>
    <w:p w14:paraId="52F3AAD1" w14:textId="77777777" w:rsidR="00270C4B" w:rsidRPr="00463320" w:rsidRDefault="00270C4B" w:rsidP="00270C4B">
      <w:pPr>
        <w:pStyle w:val="wText"/>
        <w:rPr>
          <w:lang w:val="en-GB"/>
        </w:rPr>
      </w:pPr>
      <w:r w:rsidRPr="00463320">
        <w:t>Benoît Pellevoizin</w:t>
      </w:r>
      <w:r>
        <w:t xml:space="preserve">, </w:t>
      </w:r>
      <w:r w:rsidRPr="00F658B0">
        <w:t>Head of Marketing &amp; Communications</w:t>
      </w:r>
      <w:r>
        <w:t xml:space="preserve">, </w:t>
      </w:r>
      <w:r w:rsidRPr="00463320">
        <w:t>bpellevoizin@coinshares.com</w:t>
      </w:r>
    </w:p>
    <w:p w14:paraId="5924285C" w14:textId="28C9C927" w:rsidR="00330778" w:rsidRPr="005423FE" w:rsidRDefault="00330778" w:rsidP="00CC1883">
      <w:pPr>
        <w:pStyle w:val="wText"/>
        <w:spacing w:after="240"/>
        <w:rPr>
          <w:i/>
          <w:iCs/>
        </w:rPr>
      </w:pPr>
      <w:bookmarkStart w:id="4" w:name="_Hlk207228042"/>
      <w:r w:rsidRPr="005423FE">
        <w:rPr>
          <w:i/>
          <w:iCs/>
        </w:rPr>
        <w:t>This disclosure contains information that Coi</w:t>
      </w:r>
      <w:r>
        <w:rPr>
          <w:i/>
          <w:iCs/>
        </w:rPr>
        <w:t xml:space="preserve">nShares International Limited </w:t>
      </w:r>
      <w:r w:rsidR="00EF6158">
        <w:rPr>
          <w:i/>
          <w:iCs/>
        </w:rPr>
        <w:t xml:space="preserve">is </w:t>
      </w:r>
      <w:r w:rsidRPr="005423FE">
        <w:rPr>
          <w:i/>
          <w:iCs/>
        </w:rPr>
        <w:t xml:space="preserve">obliged to make public pursuant to the EU Market Abuse Regulation (EU nr 596/2014). The information was submitted for publication, through the agency of the contact person set out above, at </w:t>
      </w:r>
      <w:r w:rsidR="003B1C82">
        <w:rPr>
          <w:i/>
          <w:iCs/>
        </w:rPr>
        <w:t>1</w:t>
      </w:r>
      <w:r w:rsidR="00813233">
        <w:rPr>
          <w:i/>
          <w:iCs/>
        </w:rPr>
        <w:t>3</w:t>
      </w:r>
      <w:r w:rsidR="00B90EE3">
        <w:rPr>
          <w:i/>
          <w:iCs/>
        </w:rPr>
        <w:t>:</w:t>
      </w:r>
      <w:r w:rsidR="00813233">
        <w:rPr>
          <w:i/>
          <w:iCs/>
        </w:rPr>
        <w:t>55</w:t>
      </w:r>
      <w:r w:rsidRPr="005423FE">
        <w:rPr>
          <w:i/>
          <w:iCs/>
        </w:rPr>
        <w:t xml:space="preserve"> CEST on </w:t>
      </w:r>
      <w:r w:rsidR="003B1C82">
        <w:rPr>
          <w:i/>
          <w:iCs/>
        </w:rPr>
        <w:t xml:space="preserve">8 </w:t>
      </w:r>
      <w:r w:rsidR="00B90EE3">
        <w:rPr>
          <w:i/>
          <w:iCs/>
        </w:rPr>
        <w:t>September 2025</w:t>
      </w:r>
      <w:r w:rsidRPr="005423FE">
        <w:rPr>
          <w:i/>
          <w:iCs/>
        </w:rPr>
        <w:t>.</w:t>
      </w:r>
    </w:p>
    <w:bookmarkEnd w:id="4"/>
    <w:p w14:paraId="52B28DD3" w14:textId="5DE1CD6C" w:rsidR="008A176D" w:rsidRPr="00CC4906" w:rsidRDefault="008A176D" w:rsidP="00CC1883">
      <w:pPr>
        <w:pStyle w:val="wText"/>
        <w:rPr>
          <w:lang w:val="en-GB"/>
        </w:rPr>
      </w:pPr>
    </w:p>
    <w:sectPr w:rsidR="008A176D" w:rsidRPr="00CC4906" w:rsidSect="00003F0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AB3DA" w14:textId="77777777" w:rsidR="00E5772E" w:rsidRPr="00821FA1" w:rsidRDefault="00E5772E">
      <w:r w:rsidRPr="00821FA1">
        <w:separator/>
      </w:r>
    </w:p>
  </w:endnote>
  <w:endnote w:type="continuationSeparator" w:id="0">
    <w:p w14:paraId="411EABC8" w14:textId="77777777" w:rsidR="00E5772E" w:rsidRPr="00821FA1" w:rsidRDefault="00E5772E">
      <w:r w:rsidRPr="00821F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C0859" w14:textId="77777777" w:rsidR="007B5B3F" w:rsidRDefault="007B5B3F" w:rsidP="00422980">
    <w:pPr>
      <w:pStyle w:val="Footer"/>
    </w:pPr>
  </w:p>
  <w:tbl>
    <w:tblPr>
      <w:tblW w:w="9243" w:type="dxa"/>
      <w:tblLayout w:type="fixed"/>
      <w:tblLook w:val="0000" w:firstRow="0" w:lastRow="0" w:firstColumn="0" w:lastColumn="0" w:noHBand="0" w:noVBand="0"/>
    </w:tblPr>
    <w:tblGrid>
      <w:gridCol w:w="3697"/>
      <w:gridCol w:w="1849"/>
      <w:gridCol w:w="3697"/>
    </w:tblGrid>
    <w:tr w:rsidR="007B5B3F" w:rsidRPr="00821FA1" w14:paraId="506B9811" w14:textId="77777777" w:rsidTr="005B0CA3">
      <w:tc>
        <w:tcPr>
          <w:tcW w:w="2000" w:type="pct"/>
          <w:vAlign w:val="bottom"/>
        </w:tcPr>
        <w:p w14:paraId="62193757" w14:textId="77777777" w:rsidR="008E6C9C" w:rsidRDefault="008E6C9C" w:rsidP="00422980">
          <w:pPr>
            <w:pStyle w:val="Footer"/>
            <w:rPr>
              <w:sz w:val="12"/>
            </w:rPr>
          </w:pPr>
          <w:r>
            <w:rPr>
              <w:sz w:val="12"/>
            </w:rPr>
            <w:t>15/01/2018 06:44</w:t>
          </w:r>
        </w:p>
        <w:p w14:paraId="7C6CEBDA" w14:textId="77777777" w:rsidR="007B5B3F" w:rsidRPr="00AB77D2" w:rsidRDefault="008E6C9C" w:rsidP="00422980">
          <w:pPr>
            <w:pStyle w:val="Footer"/>
            <w:rPr>
              <w:sz w:val="12"/>
            </w:rPr>
          </w:pPr>
          <w:r>
            <w:rPr>
              <w:sz w:val="12"/>
            </w:rPr>
            <w:t>[W00.11.HOUSESTYLEBLANK.DOCX]</w:t>
          </w:r>
        </w:p>
      </w:tc>
      <w:tc>
        <w:tcPr>
          <w:tcW w:w="1000" w:type="pct"/>
        </w:tcPr>
        <w:p w14:paraId="79A115EF" w14:textId="77777777" w:rsidR="007B5B3F" w:rsidRPr="00946121" w:rsidRDefault="007B5B3F" w:rsidP="00422980">
          <w:pPr>
            <w:pStyle w:val="WCPageNumber"/>
          </w:pPr>
        </w:p>
      </w:tc>
      <w:tc>
        <w:tcPr>
          <w:tcW w:w="2000" w:type="pct"/>
        </w:tcPr>
        <w:p w14:paraId="33D368E3" w14:textId="77777777" w:rsidR="007B5B3F" w:rsidRPr="00422980" w:rsidRDefault="007B5B3F" w:rsidP="00422980">
          <w:pPr>
            <w:pStyle w:val="Footer"/>
            <w:jc w:val="right"/>
          </w:pPr>
        </w:p>
      </w:tc>
    </w:tr>
  </w:tbl>
  <w:p w14:paraId="4AB5A894" w14:textId="77777777" w:rsidR="007B5B3F" w:rsidRPr="00422980" w:rsidRDefault="007B5B3F" w:rsidP="00422980">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AE499" w14:textId="77777777" w:rsidR="007B5B3F" w:rsidRDefault="007B5B3F" w:rsidP="00422980">
    <w:pPr>
      <w:pStyle w:val="Footer"/>
    </w:pPr>
  </w:p>
  <w:p w14:paraId="6C6B8052" w14:textId="77777777" w:rsidR="007B5B3F" w:rsidRPr="00422980" w:rsidRDefault="007B5B3F" w:rsidP="00422980">
    <w:pPr>
      <w:pStyle w:val="Footer"/>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5281" w14:textId="77777777" w:rsidR="007B5B3F" w:rsidRDefault="007B5B3F" w:rsidP="00422980">
    <w:pPr>
      <w:pStyle w:val="Footer"/>
    </w:pPr>
  </w:p>
  <w:p w14:paraId="75EE6A81" w14:textId="77777777" w:rsidR="007B5B3F" w:rsidRPr="00422980" w:rsidRDefault="007B5B3F" w:rsidP="00422980">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7C29A" w14:textId="77777777" w:rsidR="00E5772E" w:rsidRPr="00821FA1" w:rsidRDefault="00E5772E">
      <w:r w:rsidRPr="00821FA1">
        <w:separator/>
      </w:r>
    </w:p>
  </w:footnote>
  <w:footnote w:type="continuationSeparator" w:id="0">
    <w:p w14:paraId="21BB95BF" w14:textId="77777777" w:rsidR="00E5772E" w:rsidRPr="00821FA1" w:rsidRDefault="00E5772E">
      <w:r w:rsidRPr="00821FA1">
        <w:continuationSeparator/>
      </w:r>
    </w:p>
  </w:footnote>
  <w:footnote w:id="1">
    <w:p w14:paraId="06667C32" w14:textId="77777777" w:rsidR="00854CDD" w:rsidRDefault="00854CDD" w:rsidP="00854CDD">
      <w:pPr>
        <w:pStyle w:val="FootnoteText"/>
        <w:ind w:left="142" w:hanging="142"/>
      </w:pPr>
      <w:r>
        <w:rPr>
          <w:rStyle w:val="FootnoteReference"/>
        </w:rPr>
        <w:footnoteRef/>
      </w:r>
      <w:r>
        <w:t xml:space="preserve"> </w:t>
      </w:r>
      <w:r>
        <w:rPr>
          <w:lang w:bidi="he-IL"/>
        </w:rPr>
        <w:t>Odysseus Holdings Limited</w:t>
      </w:r>
      <w:r>
        <w:t xml:space="preserve"> is a newly formed Jersey private limited liability company wholly owned by Jeri-Lea Brown, with registration number </w:t>
      </w:r>
      <w:r>
        <w:rPr>
          <w:lang w:eastAsia="sv-SE"/>
        </w:rPr>
        <w:t>161481</w:t>
      </w:r>
      <w:r>
        <w:t xml:space="preserve">, having its registered office at </w:t>
      </w:r>
      <w:r>
        <w:rPr>
          <w:lang w:eastAsia="sv-SE"/>
        </w:rPr>
        <w:t>2 Hill Street, St. Helier, JE2 4UA.</w:t>
      </w:r>
    </w:p>
  </w:footnote>
  <w:footnote w:id="2">
    <w:p w14:paraId="6471BB70" w14:textId="22D6D089" w:rsidR="00A0680F" w:rsidRPr="00461FF2" w:rsidRDefault="00A0680F" w:rsidP="00A0680F">
      <w:pPr>
        <w:pStyle w:val="FootnoteText"/>
        <w:ind w:left="142" w:hanging="142"/>
      </w:pPr>
      <w:r>
        <w:rPr>
          <w:rStyle w:val="FootnoteReference"/>
        </w:rPr>
        <w:footnoteRef/>
      </w:r>
      <w:r>
        <w:t xml:space="preserve"> </w:t>
      </w:r>
      <w:r w:rsidRPr="00526DB1">
        <w:t xml:space="preserve">Based on </w:t>
      </w:r>
      <w:r>
        <w:t>65,507,173</w:t>
      </w:r>
      <w:r w:rsidRPr="00526DB1" w:rsidDel="00AA18A2">
        <w:t xml:space="preserve"> </w:t>
      </w:r>
      <w:r>
        <w:t xml:space="preserve">shares in CoinShares, excluding </w:t>
      </w:r>
      <w:r w:rsidRPr="00526DB1">
        <w:t>1,171,037 shares held in treasury by CoinShares</w:t>
      </w:r>
      <w:r>
        <w:t xml:space="preserve"> in each case as of 8 September 2025 and </w:t>
      </w:r>
      <w:r w:rsidRPr="00CD7CFA">
        <w:t>734,338</w:t>
      </w:r>
      <w:r>
        <w:t xml:space="preserve"> shares in CoinShares that, as of 8 September 2025, would be issued if the outstanding CoinShares </w:t>
      </w:r>
      <w:r w:rsidR="001904CE">
        <w:t>o</w:t>
      </w:r>
      <w:r>
        <w:t xml:space="preserve">ptions, whether vested or unsettled, were net settled by withholding shares upon exercise, </w:t>
      </w:r>
      <w:r w:rsidRPr="00526DB1">
        <w:t>an</w:t>
      </w:r>
      <w:r>
        <w:t>d an</w:t>
      </w:r>
      <w:r w:rsidRPr="00526DB1">
        <w:t xml:space="preserve"> exchange rate of SEK/USD 9.45324 as of 5 September 2025</w:t>
      </w:r>
      <w:r>
        <w:t xml:space="preserve">, which would result in an Equity Exchange Ratio </w:t>
      </w:r>
      <w:r w:rsidR="003372CE">
        <w:t xml:space="preserve">(as defined below) </w:t>
      </w:r>
      <w:r>
        <w:t>of 1.8116</w:t>
      </w:r>
      <w:r w:rsidRPr="00526DB1">
        <w:t>.</w:t>
      </w:r>
      <w:r>
        <w:t xml:space="preserve"> Assuming all of the 1,927,883 outstanding </w:t>
      </w:r>
      <w:r w:rsidR="001904CE">
        <w:t>CoinShares options</w:t>
      </w:r>
      <w:r>
        <w:t xml:space="preserve"> were exercised for cash prior to completion of the Transaction, and CoinShares issued  USD 500,000 of additional options (the maximum amount permitted under the BCA) at the USD 10.00 transaction price prior to completion of the Transaction, there would be 67,485,056 shares in CoinShares, which would result in an Equity Exchange Ratio of approximately 1.7782 corresponding to SEK 168.1. Assuming all of </w:t>
      </w:r>
      <w:r w:rsidR="008B46E1">
        <w:t xml:space="preserve">the </w:t>
      </w:r>
      <w:r>
        <w:t xml:space="preserve">1,927,883 CoinShares Options were cancelled prior to completion of the Transaction, and CoinShares does not issue any additional options prior to completion of the Transaction, there would be 65,507,173 shares in CoinShares, which would result in an Equity Exchange Ratio of approximately 1.8319 corresponding to SEK 173.2. The actual number of shares in CoinShares calculated on a fully diluted basis pursuant to the BCA as of immediately prior to the completion of the Transaction, excluding the shares to be issued in the </w:t>
      </w:r>
      <w:r w:rsidR="00B713D4">
        <w:t>p</w:t>
      </w:r>
      <w:r>
        <w:t xml:space="preserve">rivate </w:t>
      </w:r>
      <w:r w:rsidR="00B713D4">
        <w:t>p</w:t>
      </w:r>
      <w:r>
        <w:t>lacement may be different.</w:t>
      </w:r>
    </w:p>
  </w:footnote>
  <w:footnote w:id="3">
    <w:p w14:paraId="7A309E69" w14:textId="77777777" w:rsidR="00A0680F" w:rsidRPr="00FB0DE0" w:rsidRDefault="00A0680F" w:rsidP="00A0680F">
      <w:pPr>
        <w:pStyle w:val="FootnoteText"/>
      </w:pPr>
      <w:r>
        <w:rPr>
          <w:rStyle w:val="FootnoteReference"/>
        </w:rPr>
        <w:footnoteRef/>
      </w:r>
      <w:r>
        <w:t xml:space="preserve"> Excluding today, 8 September 2025.</w:t>
      </w:r>
    </w:p>
  </w:footnote>
  <w:footnote w:id="4">
    <w:p w14:paraId="565D3EAB" w14:textId="77777777" w:rsidR="006976DD" w:rsidRPr="00362BCB" w:rsidRDefault="006976DD" w:rsidP="006976DD">
      <w:pPr>
        <w:pStyle w:val="FootnoteText"/>
      </w:pPr>
      <w:r>
        <w:rPr>
          <w:rStyle w:val="FootnoteReference"/>
        </w:rPr>
        <w:footnoteRef/>
      </w:r>
      <w:r>
        <w:t xml:space="preserve"> Corresponding to approximately SEK 94.5, based on an </w:t>
      </w:r>
      <w:r w:rsidRPr="00B17924">
        <w:t xml:space="preserve">exchange rate of </w:t>
      </w:r>
      <w:r>
        <w:t>USD/SEK</w:t>
      </w:r>
      <w:r w:rsidRPr="00B17924">
        <w:t xml:space="preserve"> </w:t>
      </w:r>
      <w:r>
        <w:t>9.45324</w:t>
      </w:r>
      <w:r w:rsidRPr="00B17924">
        <w:t xml:space="preserve"> as of </w:t>
      </w:r>
      <w:r>
        <w:t>5 September</w:t>
      </w:r>
      <w:r w:rsidRPr="00B17924">
        <w:t xml:space="preserve"> </w:t>
      </w:r>
      <w:r>
        <w:t>2025.</w:t>
      </w:r>
    </w:p>
  </w:footnote>
  <w:footnote w:id="5">
    <w:p w14:paraId="523A0AC0" w14:textId="77777777" w:rsidR="006976DD" w:rsidRPr="00362BCB" w:rsidRDefault="006976DD" w:rsidP="006976DD">
      <w:pPr>
        <w:pStyle w:val="FootnoteText"/>
      </w:pPr>
      <w:r>
        <w:rPr>
          <w:rStyle w:val="FootnoteReference"/>
        </w:rPr>
        <w:footnoteRef/>
      </w:r>
      <w:r>
        <w:t xml:space="preserve"> Corresponding to approximately </w:t>
      </w:r>
      <w:r w:rsidRPr="005F7185">
        <w:t>SEK 11.3 billion</w:t>
      </w:r>
      <w:r>
        <w:t xml:space="preserve">, based on an </w:t>
      </w:r>
      <w:r w:rsidRPr="00B17924">
        <w:t xml:space="preserve">exchange rate of </w:t>
      </w:r>
      <w:r>
        <w:t>USD/SEK</w:t>
      </w:r>
      <w:r w:rsidRPr="00B17924">
        <w:t xml:space="preserve"> </w:t>
      </w:r>
      <w:r>
        <w:t>9.45324</w:t>
      </w:r>
      <w:r w:rsidRPr="00B17924">
        <w:t xml:space="preserve"> as of </w:t>
      </w:r>
      <w:r>
        <w:t>5 September</w:t>
      </w:r>
      <w:r w:rsidRPr="00B17924">
        <w:t xml:space="preserve"> </w:t>
      </w:r>
      <w:r>
        <w:t>2025.</w:t>
      </w:r>
    </w:p>
  </w:footnote>
  <w:footnote w:id="6">
    <w:p w14:paraId="17BB3F6B" w14:textId="62B24463" w:rsidR="006976DD" w:rsidRDefault="006976DD" w:rsidP="006976DD">
      <w:pPr>
        <w:pStyle w:val="FootnoteText"/>
        <w:ind w:left="0" w:firstLine="0"/>
      </w:pPr>
      <w:r>
        <w:rPr>
          <w:rStyle w:val="FootnoteReference"/>
        </w:rPr>
        <w:footnoteRef/>
      </w:r>
      <w:r>
        <w:t xml:space="preserve"> </w:t>
      </w:r>
      <w:r w:rsidRPr="00526DB1">
        <w:t xml:space="preserve">Based on </w:t>
      </w:r>
      <w:r w:rsidR="0093740E">
        <w:t>65,507,173</w:t>
      </w:r>
      <w:r w:rsidRPr="00526DB1" w:rsidDel="00AA18A2">
        <w:t xml:space="preserve"> </w:t>
      </w:r>
      <w:r>
        <w:t xml:space="preserve">shares in CoinShares, excluding </w:t>
      </w:r>
      <w:r w:rsidRPr="00526DB1">
        <w:t>1,171,037 shares held in treasury by CoinShares</w:t>
      </w:r>
      <w:r w:rsidRPr="00172C36">
        <w:t xml:space="preserve"> </w:t>
      </w:r>
      <w:r>
        <w:t xml:space="preserve">in each case as of 8 September 2025, and </w:t>
      </w:r>
      <w:r w:rsidRPr="00CD7CFA">
        <w:t>734,338</w:t>
      </w:r>
      <w:r>
        <w:t xml:space="preserve"> shares in CoinShares that, as of 8 September 2025, would be issued if the outstanding CoinShares </w:t>
      </w:r>
      <w:r w:rsidR="00B713D4">
        <w:t>o</w:t>
      </w:r>
      <w:r>
        <w:t>ptions (as defined above), whether vested or unsettled, were net settled by withholding shares upon exercise, which would result in an Equity Exchange Ratio of 1.8</w:t>
      </w:r>
      <w:r w:rsidR="00EA0098">
        <w:t>319</w:t>
      </w:r>
      <w:r w:rsidRPr="00526DB1">
        <w:t>.</w:t>
      </w:r>
    </w:p>
  </w:footnote>
  <w:footnote w:id="7">
    <w:p w14:paraId="270844B0" w14:textId="65ED38E6" w:rsidR="00B9274A" w:rsidRPr="009162DE" w:rsidRDefault="00B9274A" w:rsidP="00B9274A">
      <w:pPr>
        <w:pStyle w:val="FootnoteText"/>
        <w:ind w:left="0" w:firstLine="0"/>
      </w:pPr>
      <w:r>
        <w:rPr>
          <w:rStyle w:val="FootnoteReference"/>
        </w:rPr>
        <w:footnoteRef/>
      </w:r>
      <w:r>
        <w:t xml:space="preserve"> </w:t>
      </w:r>
      <w:r w:rsidRPr="00526DB1">
        <w:t xml:space="preserve">Based on </w:t>
      </w:r>
      <w:r>
        <w:t>65,507,173</w:t>
      </w:r>
      <w:r w:rsidRPr="00526DB1" w:rsidDel="00AA18A2">
        <w:t xml:space="preserve"> </w:t>
      </w:r>
      <w:r>
        <w:t xml:space="preserve">shares in CoinShares, excluding </w:t>
      </w:r>
      <w:r w:rsidRPr="00526DB1">
        <w:t>1,171,037 shares held in treasury by CoinShares</w:t>
      </w:r>
      <w:r>
        <w:t>,</w:t>
      </w:r>
      <w:r w:rsidRPr="00172C36">
        <w:t xml:space="preserve"> </w:t>
      </w:r>
      <w:r>
        <w:t xml:space="preserve">in each case as of </w:t>
      </w:r>
      <w:r>
        <w:br/>
        <w:t xml:space="preserve">8 September 2025, and </w:t>
      </w:r>
      <w:r w:rsidRPr="00CD7CFA">
        <w:t>734,338</w:t>
      </w:r>
      <w:r>
        <w:t xml:space="preserve"> shares in CoinShares that, as of 8 September 2025, would be issued if the outstanding CoinShares </w:t>
      </w:r>
      <w:r w:rsidR="00B713D4">
        <w:t>o</w:t>
      </w:r>
      <w:r>
        <w:t>ptions, whether vested or unsettled, were net settled by withholding shares upon exercise.</w:t>
      </w:r>
    </w:p>
  </w:footnote>
  <w:footnote w:id="8">
    <w:p w14:paraId="057CB348" w14:textId="50D956ED" w:rsidR="006976DD" w:rsidRDefault="006976DD" w:rsidP="006976DD">
      <w:pPr>
        <w:pStyle w:val="FootnoteText"/>
        <w:ind w:left="0" w:firstLine="0"/>
      </w:pPr>
      <w:r>
        <w:rPr>
          <w:rStyle w:val="FootnoteReference"/>
        </w:rPr>
        <w:footnoteRef/>
      </w:r>
      <w:r>
        <w:t xml:space="preserve"> Assuming all of the 1,927,883 outstanding CoinShares Options were exercised for cash prior to completion of the Transaction, and CoinShares issued </w:t>
      </w:r>
      <w:r w:rsidR="0065308F">
        <w:t xml:space="preserve">USD </w:t>
      </w:r>
      <w:r>
        <w:t xml:space="preserve">500,000 of additional options (the maximum amount permitted under the BCA) at the </w:t>
      </w:r>
      <w:r w:rsidR="0065308F">
        <w:t xml:space="preserve">USD </w:t>
      </w:r>
      <w:r>
        <w:t xml:space="preserve">10.00 transaction price prior to completion of the Transaction, there would be 67,485,056 shares in CoinShares (excluding the shares to be issued in the </w:t>
      </w:r>
      <w:r w:rsidR="002756B3">
        <w:t>p</w:t>
      </w:r>
      <w:r>
        <w:t xml:space="preserve">rivate </w:t>
      </w:r>
      <w:r w:rsidR="002756B3">
        <w:t>p</w:t>
      </w:r>
      <w:r>
        <w:t>lacement which do not impact the calculations), which would result in an Equity Exchange Ratio of approximately 1.7782 corresponding to SEK 168.1.</w:t>
      </w:r>
    </w:p>
  </w:footnote>
  <w:footnote w:id="9">
    <w:p w14:paraId="1BF6889B" w14:textId="0FC8B739" w:rsidR="006976DD" w:rsidRDefault="006976DD" w:rsidP="006976DD">
      <w:pPr>
        <w:pStyle w:val="FootnoteText"/>
        <w:ind w:left="0" w:firstLine="0"/>
      </w:pPr>
      <w:r>
        <w:rPr>
          <w:rStyle w:val="FootnoteReference"/>
        </w:rPr>
        <w:footnoteRef/>
      </w:r>
      <w:r>
        <w:t xml:space="preserve"> Assuming all of the 1,927,883 CoinShares </w:t>
      </w:r>
      <w:r w:rsidR="002756B3">
        <w:t>o</w:t>
      </w:r>
      <w:r>
        <w:t xml:space="preserve">ptions were cancelled prior to completion of the Transaction, and CoinShares does not issue any additional options prior to completion of the Transaction, there would be 65,507,173 shares in CoinShares (excluding the shares to be issued in the </w:t>
      </w:r>
      <w:r w:rsidR="002756B3">
        <w:t>p</w:t>
      </w:r>
      <w:r>
        <w:t xml:space="preserve">rivate </w:t>
      </w:r>
      <w:r w:rsidR="002756B3">
        <w:t>p</w:t>
      </w:r>
      <w:r>
        <w:t>lacement which do not impact the calculations), which would result in an Equity Exchange Ratio of approximately 1.8319 corresponding to SEK 173.2.</w:t>
      </w:r>
    </w:p>
  </w:footnote>
  <w:footnote w:id="10">
    <w:p w14:paraId="7D5788A8" w14:textId="1FC2698F" w:rsidR="004B435B" w:rsidRPr="00FC6936" w:rsidRDefault="004B435B" w:rsidP="004B435B">
      <w:pPr>
        <w:pStyle w:val="FootnoteText"/>
        <w:ind w:left="0" w:firstLine="0"/>
        <w:rPr>
          <w:lang w:val="en-GB"/>
        </w:rPr>
      </w:pPr>
      <w:r>
        <w:rPr>
          <w:rStyle w:val="FootnoteReference"/>
        </w:rPr>
        <w:footnoteRef/>
      </w:r>
      <w:r>
        <w:t xml:space="preserve"> </w:t>
      </w:r>
      <w:r w:rsidRPr="00526DB1">
        <w:t xml:space="preserve">Based on </w:t>
      </w:r>
      <w:r>
        <w:t>65,507,173</w:t>
      </w:r>
      <w:r w:rsidRPr="00526DB1" w:rsidDel="00AA18A2">
        <w:t xml:space="preserve"> </w:t>
      </w:r>
      <w:r>
        <w:t xml:space="preserve">shares in CoinShares, excluding </w:t>
      </w:r>
      <w:r w:rsidRPr="00526DB1">
        <w:t>1,171,037 shares held in treasury by CoinShares</w:t>
      </w:r>
      <w:r w:rsidRPr="0063764F">
        <w:t xml:space="preserve"> </w:t>
      </w:r>
      <w:r>
        <w:t xml:space="preserve">in each case as of 8 September 2025, and </w:t>
      </w:r>
      <w:r w:rsidRPr="00CD7CFA">
        <w:t>734,338</w:t>
      </w:r>
      <w:r>
        <w:t xml:space="preserve"> shares in CoinShares that, as of 8 September 2025, would be issued if the outstanding CoinShares Options (as defined above), whether vested or unsettled, were net settled by withholding shares upon exercise</w:t>
      </w:r>
      <w:r w:rsidRPr="00526DB1">
        <w:t>.</w:t>
      </w:r>
      <w:r>
        <w:t xml:space="preserve"> The number of shares in CoinShares calculated pursuant to the BCA as of immediately prior to the completion of the Transaction, excluding the shares to be issued in the Private Placement may be different.</w:t>
      </w:r>
    </w:p>
  </w:footnote>
  <w:footnote w:id="11">
    <w:p w14:paraId="22228C3F" w14:textId="77777777" w:rsidR="004B435B" w:rsidRPr="00FB0DE0" w:rsidRDefault="004B435B" w:rsidP="004B435B">
      <w:pPr>
        <w:pStyle w:val="FootnoteText"/>
      </w:pPr>
      <w:r>
        <w:rPr>
          <w:rStyle w:val="FootnoteReference"/>
        </w:rPr>
        <w:footnoteRef/>
      </w:r>
      <w:r>
        <w:t xml:space="preserve"> Excluding today, 8 September 2025.</w:t>
      </w:r>
    </w:p>
  </w:footnote>
  <w:footnote w:id="12">
    <w:p w14:paraId="226B0011" w14:textId="77777777" w:rsidR="004B435B" w:rsidRPr="00FB0DE0" w:rsidRDefault="004B435B" w:rsidP="004B435B">
      <w:pPr>
        <w:pStyle w:val="FootnoteText"/>
      </w:pPr>
      <w:r>
        <w:rPr>
          <w:rStyle w:val="FootnoteReference"/>
        </w:rPr>
        <w:footnoteRef/>
      </w:r>
      <w:r>
        <w:t xml:space="preserve"> Excluding today, 8 September 2025.</w:t>
      </w:r>
    </w:p>
  </w:footnote>
  <w:footnote w:id="13">
    <w:p w14:paraId="7DEE41F9" w14:textId="77777777" w:rsidR="004B435B" w:rsidRPr="00FB0DE0" w:rsidRDefault="004B435B" w:rsidP="004B435B">
      <w:pPr>
        <w:pStyle w:val="FootnoteText"/>
      </w:pPr>
      <w:r>
        <w:rPr>
          <w:rStyle w:val="FootnoteReference"/>
        </w:rPr>
        <w:footnoteRef/>
      </w:r>
      <w:r>
        <w:t xml:space="preserve"> Excluding today, 8 September 2025.</w:t>
      </w:r>
    </w:p>
  </w:footnote>
  <w:footnote w:id="14">
    <w:p w14:paraId="17E45445" w14:textId="519AACDE" w:rsidR="00B00B03" w:rsidRPr="00E15EBB" w:rsidRDefault="00B00B03" w:rsidP="00B00B03">
      <w:pPr>
        <w:jc w:val="both"/>
        <w:rPr>
          <w:rFonts w:ascii="Segoe UI" w:eastAsia="Times New Roman" w:hAnsi="Segoe UI" w:cs="Segoe UI"/>
          <w:color w:val="C00000"/>
          <w:sz w:val="18"/>
          <w:szCs w:val="18"/>
          <w:lang w:val="en-GB" w:eastAsia="sv-SE"/>
        </w:rPr>
      </w:pPr>
      <w:r w:rsidRPr="00E15EBB">
        <w:rPr>
          <w:rStyle w:val="FootnoteReference"/>
          <w:sz w:val="18"/>
          <w:szCs w:val="18"/>
        </w:rPr>
        <w:footnoteRef/>
      </w:r>
      <w:r w:rsidRPr="00E15EBB">
        <w:rPr>
          <w:sz w:val="18"/>
          <w:szCs w:val="18"/>
        </w:rPr>
        <w:t xml:space="preserve"> Based on 65,507,173</w:t>
      </w:r>
      <w:r w:rsidR="008469BA">
        <w:rPr>
          <w:sz w:val="18"/>
          <w:szCs w:val="18"/>
        </w:rPr>
        <w:t xml:space="preserve"> shares in CoinShares</w:t>
      </w:r>
      <w:r w:rsidRPr="00E15EBB">
        <w:rPr>
          <w:sz w:val="18"/>
          <w:szCs w:val="18"/>
        </w:rPr>
        <w:t xml:space="preserve">, excluding 1,171,037 shares held in treasury by CoinShares and 734,338 shares in CoinShares that, as of 8 September 2025, would be issued if the outstanding CoinShares </w:t>
      </w:r>
      <w:r>
        <w:rPr>
          <w:sz w:val="18"/>
          <w:szCs w:val="18"/>
        </w:rPr>
        <w:t>o</w:t>
      </w:r>
      <w:r w:rsidRPr="00E15EBB">
        <w:rPr>
          <w:sz w:val="18"/>
          <w:szCs w:val="18"/>
        </w:rPr>
        <w:t>ptions, whether vested or unsettled, were net settled by withholding shares upon exercise.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B6989" w14:textId="77777777" w:rsidR="008E1C96" w:rsidRDefault="008E1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C302D" w14:textId="77777777" w:rsidR="008E1C96" w:rsidRDefault="008E1C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0425B" w14:textId="337F3E86" w:rsidR="00CC1883" w:rsidRPr="0003430C" w:rsidRDefault="00036741" w:rsidP="00CC1883">
    <w:pPr>
      <w:pStyle w:val="Header"/>
      <w:jc w:val="right"/>
      <w:rPr>
        <w:i/>
        <w:iCs/>
      </w:rPr>
    </w:pPr>
    <w:r>
      <w:rPr>
        <w:i/>
        <w:iCs/>
      </w:rPr>
      <w:t xml:space="preserve">Final </w:t>
    </w:r>
    <w:r w:rsidR="00D76648">
      <w:rPr>
        <w:i/>
        <w:iCs/>
      </w:rPr>
      <w:t>version</w:t>
    </w:r>
  </w:p>
  <w:p w14:paraId="6102A13B" w14:textId="77777777" w:rsidR="00CC1883" w:rsidRDefault="00CC1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2D5"/>
    <w:multiLevelType w:val="multilevel"/>
    <w:tmpl w:val="0CA43E2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E77DE6"/>
    <w:multiLevelType w:val="hybridMultilevel"/>
    <w:tmpl w:val="0608C5BE"/>
    <w:lvl w:ilvl="0" w:tplc="A6DE0D9C">
      <w:start w:val="1"/>
      <w:numFmt w:val="bullet"/>
      <w:pStyle w:val="w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A637F"/>
    <w:multiLevelType w:val="multilevel"/>
    <w:tmpl w:val="6A187AD0"/>
    <w:lvl w:ilvl="0">
      <w:start w:val="1"/>
      <w:numFmt w:val="decimal"/>
      <w:lvlText w:val="Schedule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ascii="Times New Roman" w:hAnsi="Times New Roman" w:hint="default"/>
        <w:color w:val="000000" w:themeColor="text1"/>
      </w:rPr>
    </w:lvl>
    <w:lvl w:ilvl="3">
      <w:start w:val="1"/>
      <w:numFmt w:val="decimal"/>
      <w:lvlText w:val="%3.%4"/>
      <w:lvlJc w:val="left"/>
      <w:pPr>
        <w:tabs>
          <w:tab w:val="num" w:pos="720"/>
        </w:tabs>
        <w:ind w:left="720" w:hanging="720"/>
      </w:pPr>
      <w:rPr>
        <w:rFonts w:ascii="Times New Roman" w:hAnsi="Times New Roman" w:hint="default"/>
        <w:color w:val="000000" w:themeColor="text1"/>
      </w:rPr>
    </w:lvl>
    <w:lvl w:ilvl="4">
      <w:start w:val="1"/>
      <w:numFmt w:val="lowerLetter"/>
      <w:lvlText w:val="(%5)"/>
      <w:lvlJc w:val="left"/>
      <w:pPr>
        <w:tabs>
          <w:tab w:val="num" w:pos="1440"/>
        </w:tabs>
        <w:ind w:left="1440" w:hanging="720"/>
      </w:pPr>
      <w:rPr>
        <w:rFonts w:hint="default"/>
        <w:color w:val="000000" w:themeColor="text1"/>
      </w:rPr>
    </w:lvl>
    <w:lvl w:ilvl="5">
      <w:start w:val="1"/>
      <w:numFmt w:val="lowerRoman"/>
      <w:lvlText w:val="(%6)"/>
      <w:lvlJc w:val="left"/>
      <w:pPr>
        <w:tabs>
          <w:tab w:val="num" w:pos="2160"/>
        </w:tabs>
        <w:ind w:left="2160" w:hanging="720"/>
      </w:pPr>
      <w:rPr>
        <w:rFonts w:hint="default"/>
        <w:color w:val="000000" w:themeColor="text1"/>
      </w:rPr>
    </w:lvl>
    <w:lvl w:ilvl="6">
      <w:start w:val="1"/>
      <w:numFmt w:val="upperLetter"/>
      <w:lvlText w:val="(%7)"/>
      <w:lvlJc w:val="left"/>
      <w:pPr>
        <w:tabs>
          <w:tab w:val="num" w:pos="2880"/>
        </w:tabs>
        <w:ind w:left="2880" w:hanging="720"/>
      </w:pPr>
      <w:rPr>
        <w:rFonts w:hint="default"/>
        <w:color w:val="000000" w:themeColor="text1"/>
      </w:rPr>
    </w:lvl>
    <w:lvl w:ilvl="7">
      <w:start w:val="1"/>
      <w:numFmt w:val="lowerLetter"/>
      <w:lvlText w:val="(%8)"/>
      <w:lvlJc w:val="left"/>
      <w:pPr>
        <w:tabs>
          <w:tab w:val="num" w:pos="720"/>
        </w:tabs>
        <w:ind w:left="720" w:hanging="720"/>
      </w:pPr>
      <w:rPr>
        <w:rFonts w:hint="default"/>
        <w:color w:val="000000" w:themeColor="text1"/>
      </w:rPr>
    </w:lvl>
    <w:lvl w:ilvl="8">
      <w:start w:val="1"/>
      <w:numFmt w:val="lowerRoman"/>
      <w:lvlText w:val="(%9)"/>
      <w:lvlJc w:val="left"/>
      <w:pPr>
        <w:tabs>
          <w:tab w:val="num" w:pos="1440"/>
        </w:tabs>
        <w:ind w:left="1440" w:hanging="720"/>
      </w:pPr>
      <w:rPr>
        <w:rFonts w:hint="default"/>
        <w:color w:val="000000" w:themeColor="text1"/>
      </w:rPr>
    </w:lvl>
  </w:abstractNum>
  <w:abstractNum w:abstractNumId="4" w15:restartNumberingAfterBreak="0">
    <w:nsid w:val="23617166"/>
    <w:multiLevelType w:val="multilevel"/>
    <w:tmpl w:val="0DE2F7A6"/>
    <w:lvl w:ilvl="0">
      <w:start w:val="1"/>
      <w:numFmt w:val="decimal"/>
      <w:pStyle w:val="Heading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Heading2"/>
      <w:isLgl/>
      <w:lvlText w:val="%1.%2"/>
      <w:lvlJc w:val="left"/>
      <w:pPr>
        <w:tabs>
          <w:tab w:val="num" w:pos="720"/>
        </w:tabs>
        <w:ind w:left="720" w:hanging="720"/>
      </w:pPr>
      <w:rPr>
        <w:rFonts w:ascii="Times New Roman" w:hAnsi="Times New Roman" w:cs="Times New Roman" w:hint="default"/>
        <w:b/>
        <w:i w:val="0"/>
        <w:color w:val="000000" w:themeColor="text1"/>
        <w:sz w:val="22"/>
      </w:rPr>
    </w:lvl>
    <w:lvl w:ilvl="2">
      <w:start w:val="1"/>
      <w:numFmt w:val="lowerLetter"/>
      <w:pStyle w:val="Heading3"/>
      <w:lvlText w:val="(%3)"/>
      <w:lvlJc w:val="left"/>
      <w:pPr>
        <w:tabs>
          <w:tab w:val="num" w:pos="1440"/>
        </w:tabs>
        <w:ind w:left="1440" w:hanging="720"/>
      </w:pPr>
      <w:rPr>
        <w:rFonts w:hint="default"/>
        <w:color w:val="000000" w:themeColor="text1"/>
      </w:rPr>
    </w:lvl>
    <w:lvl w:ilvl="3">
      <w:start w:val="1"/>
      <w:numFmt w:val="lowerRoman"/>
      <w:pStyle w:val="Heading4"/>
      <w:lvlText w:val="(%4)"/>
      <w:lvlJc w:val="left"/>
      <w:pPr>
        <w:tabs>
          <w:tab w:val="num" w:pos="2160"/>
        </w:tabs>
        <w:ind w:left="2160" w:hanging="720"/>
      </w:pPr>
      <w:rPr>
        <w:rFonts w:hint="default"/>
        <w:color w:val="000000" w:themeColor="text1"/>
      </w:rPr>
    </w:lvl>
    <w:lvl w:ilvl="4">
      <w:start w:val="1"/>
      <w:numFmt w:val="upperLetter"/>
      <w:pStyle w:val="Heading5"/>
      <w:lvlText w:val="(%5)"/>
      <w:lvlJc w:val="left"/>
      <w:pPr>
        <w:tabs>
          <w:tab w:val="num" w:pos="2880"/>
        </w:tabs>
        <w:ind w:left="2880" w:hanging="720"/>
      </w:pPr>
      <w:rPr>
        <w:rFonts w:hint="default"/>
        <w:color w:val="000000" w:themeColor="text1"/>
      </w:rPr>
    </w:lvl>
    <w:lvl w:ilvl="5">
      <w:start w:val="1"/>
      <w:numFmt w:val="decimal"/>
      <w:pStyle w:val="Heading6"/>
      <w:lvlText w:val="(%6)"/>
      <w:lvlJc w:val="left"/>
      <w:pPr>
        <w:tabs>
          <w:tab w:val="num" w:pos="3600"/>
        </w:tabs>
        <w:ind w:left="3600" w:hanging="720"/>
      </w:pPr>
      <w:rPr>
        <w:rFonts w:hint="default"/>
        <w:color w:val="000000" w:themeColor="text1"/>
      </w:rPr>
    </w:lvl>
    <w:lvl w:ilvl="6">
      <w:start w:val="1"/>
      <w:numFmt w:val="upperRoman"/>
      <w:pStyle w:val="Heading7"/>
      <w:lvlText w:val="(%7)"/>
      <w:lvlJc w:val="left"/>
      <w:pPr>
        <w:tabs>
          <w:tab w:val="num" w:pos="4320"/>
        </w:tabs>
        <w:ind w:left="4320" w:hanging="720"/>
      </w:pPr>
      <w:rPr>
        <w:rFonts w:hint="default"/>
        <w:color w:val="000000" w:themeColor="text1"/>
      </w:rPr>
    </w:lvl>
    <w:lvl w:ilvl="7">
      <w:start w:val="1"/>
      <w:numFmt w:val="none"/>
      <w:pStyle w:val="Heading8"/>
      <w:suff w:val="nothing"/>
      <w:lvlText w:val=""/>
      <w:lvlJc w:val="left"/>
      <w:pPr>
        <w:ind w:left="0" w:firstLine="0"/>
      </w:pPr>
      <w:rPr>
        <w:rFonts w:hint="default"/>
        <w:color w:val="000000" w:themeColor="text1"/>
      </w:rPr>
    </w:lvl>
    <w:lvl w:ilvl="8">
      <w:start w:val="1"/>
      <w:numFmt w:val="none"/>
      <w:pStyle w:val="Heading9"/>
      <w:suff w:val="nothing"/>
      <w:lvlText w:val=""/>
      <w:lvlJc w:val="left"/>
      <w:pPr>
        <w:ind w:left="0" w:firstLine="0"/>
      </w:pPr>
      <w:rPr>
        <w:rFonts w:hint="default"/>
        <w:color w:val="000000" w:themeColor="text1"/>
      </w:rPr>
    </w:lvl>
  </w:abstractNum>
  <w:abstractNum w:abstractNumId="5" w15:restartNumberingAfterBreak="0">
    <w:nsid w:val="262D4BEB"/>
    <w:multiLevelType w:val="multilevel"/>
    <w:tmpl w:val="92820D82"/>
    <w:name w:val="Definition"/>
    <w:lvl w:ilvl="0">
      <w:start w:val="1"/>
      <w:numFmt w:val="none"/>
      <w:suff w:val="nothing"/>
      <w:lvlText w:val=""/>
      <w:lvlJc w:val="left"/>
      <w:pPr>
        <w:ind w:left="720" w:firstLine="0"/>
      </w:pPr>
      <w:rPr>
        <w:rFonts w:ascii="Times New Roman" w:hAnsi="Times New Roman" w:cs="Times New Roman" w:hint="default"/>
        <w:b/>
        <w:i w:val="0"/>
        <w:color w:val="000000" w:themeColor="text1"/>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themeColor="text1"/>
        <w:sz w:val="22"/>
      </w:rPr>
    </w:lvl>
    <w:lvl w:ilvl="2">
      <w:start w:val="1"/>
      <w:numFmt w:val="lowerRoman"/>
      <w:lvlText w:val="(%3)"/>
      <w:lvlJc w:val="left"/>
      <w:pPr>
        <w:tabs>
          <w:tab w:val="num" w:pos="2160"/>
        </w:tabs>
        <w:ind w:left="2160" w:hanging="720"/>
      </w:pPr>
      <w:rPr>
        <w:rFonts w:ascii="Times New Roman" w:hAnsi="Times New Roman" w:hint="default"/>
        <w:color w:val="000000" w:themeColor="text1"/>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themeColor="text1"/>
      </w:rPr>
    </w:lvl>
    <w:lvl w:ilvl="4">
      <w:start w:val="1"/>
      <w:numFmt w:val="decimal"/>
      <w:lvlText w:val="(%5)"/>
      <w:lvlJc w:val="left"/>
      <w:pPr>
        <w:tabs>
          <w:tab w:val="num" w:pos="3600"/>
        </w:tabs>
        <w:ind w:left="3600" w:hanging="720"/>
      </w:pPr>
      <w:rPr>
        <w:rFonts w:ascii="Times New Roman" w:hAnsi="Times New Roman" w:hint="default"/>
        <w:color w:val="000000" w:themeColor="text1"/>
      </w:rPr>
    </w:lvl>
    <w:lvl w:ilvl="5">
      <w:start w:val="1"/>
      <w:numFmt w:val="upperRoman"/>
      <w:lvlText w:val="(%6)"/>
      <w:lvlJc w:val="left"/>
      <w:pPr>
        <w:tabs>
          <w:tab w:val="num" w:pos="4320"/>
        </w:tabs>
        <w:ind w:left="4320" w:hanging="720"/>
      </w:pPr>
      <w:rPr>
        <w:rFonts w:hint="default"/>
        <w:color w:val="000000" w:themeColor="text1"/>
      </w:rPr>
    </w:lvl>
    <w:lvl w:ilvl="6">
      <w:start w:val="1"/>
      <w:numFmt w:val="decimal"/>
      <w:lvlRestart w:val="0"/>
      <w:lvlText w:val="(%7)"/>
      <w:lvlJc w:val="left"/>
      <w:pPr>
        <w:tabs>
          <w:tab w:val="num" w:pos="720"/>
        </w:tabs>
        <w:ind w:left="720" w:hanging="720"/>
      </w:pPr>
      <w:rPr>
        <w:rFonts w:hint="default"/>
        <w:b/>
        <w:i w:val="0"/>
        <w:color w:val="000000" w:themeColor="text1"/>
      </w:rPr>
    </w:lvl>
    <w:lvl w:ilvl="7">
      <w:start w:val="1"/>
      <w:numFmt w:val="upperLetter"/>
      <w:lvlRestart w:val="0"/>
      <w:lvlText w:val="(%8)"/>
      <w:lvlJc w:val="left"/>
      <w:pPr>
        <w:tabs>
          <w:tab w:val="num" w:pos="720"/>
        </w:tabs>
        <w:ind w:left="7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B0768D5"/>
    <w:multiLevelType w:val="multilevel"/>
    <w:tmpl w:val="50D8C68C"/>
    <w:lvl w:ilvl="0">
      <w:start w:val="1"/>
      <w:numFmt w:val="decimal"/>
      <w:lvlText w:val="Appendix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b w:val="0"/>
        <w:i w:val="0"/>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880"/>
        </w:tabs>
        <w:ind w:left="288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1440"/>
        </w:tabs>
        <w:ind w:left="1440" w:hanging="720"/>
      </w:pPr>
      <w:rPr>
        <w:rFonts w:hint="default"/>
      </w:rPr>
    </w:lvl>
  </w:abstractNum>
  <w:abstractNum w:abstractNumId="7" w15:restartNumberingAfterBreak="0">
    <w:nsid w:val="346B2968"/>
    <w:multiLevelType w:val="multilevel"/>
    <w:tmpl w:val="1DCEBD7E"/>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8" w15:restartNumberingAfterBreak="0">
    <w:nsid w:val="395E1399"/>
    <w:multiLevelType w:val="multilevel"/>
    <w:tmpl w:val="C27EDB80"/>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1FA612F"/>
    <w:multiLevelType w:val="hybridMultilevel"/>
    <w:tmpl w:val="4948E2E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8754FA"/>
    <w:multiLevelType w:val="hybridMultilevel"/>
    <w:tmpl w:val="05F6FF98"/>
    <w:name w:val="Parties"/>
    <w:lvl w:ilvl="0" w:tplc="671278A0">
      <w:start w:val="1"/>
      <w:numFmt w:val="upperLetter"/>
      <w:lvlText w:val="(%1)"/>
      <w:lvlJc w:val="left"/>
      <w:pPr>
        <w:tabs>
          <w:tab w:val="num" w:pos="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3E5BB2"/>
    <w:multiLevelType w:val="hybridMultilevel"/>
    <w:tmpl w:val="F53A3E52"/>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C82148"/>
    <w:multiLevelType w:val="hybridMultilevel"/>
    <w:tmpl w:val="FB9AF3C8"/>
    <w:lvl w:ilvl="0" w:tplc="1F1490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B77A41"/>
    <w:multiLevelType w:val="hybridMultilevel"/>
    <w:tmpl w:val="E598B7FC"/>
    <w:lvl w:ilvl="0" w:tplc="034A75E2">
      <w:start w:val="1"/>
      <w:numFmt w:val="bullet"/>
      <w:lvlText w:val=""/>
      <w:lvlJc w:val="left"/>
      <w:pPr>
        <w:tabs>
          <w:tab w:val="num" w:pos="417"/>
        </w:tabs>
        <w:ind w:left="341"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E017A5"/>
    <w:multiLevelType w:val="hybridMultilevel"/>
    <w:tmpl w:val="3CE695F4"/>
    <w:name w:val="Recitals"/>
    <w:lvl w:ilvl="0" w:tplc="37F40F88">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08644850">
    <w:abstractNumId w:val="13"/>
  </w:num>
  <w:num w:numId="2" w16cid:durableId="1757020963">
    <w:abstractNumId w:val="14"/>
  </w:num>
  <w:num w:numId="3" w16cid:durableId="687559912">
    <w:abstractNumId w:val="9"/>
  </w:num>
  <w:num w:numId="4" w16cid:durableId="1578513377">
    <w:abstractNumId w:val="1"/>
  </w:num>
  <w:num w:numId="5" w16cid:durableId="359088923">
    <w:abstractNumId w:val="12"/>
  </w:num>
  <w:num w:numId="6" w16cid:durableId="75060244">
    <w:abstractNumId w:val="11"/>
  </w:num>
  <w:num w:numId="7" w16cid:durableId="455609805">
    <w:abstractNumId w:val="2"/>
  </w:num>
  <w:num w:numId="8" w16cid:durableId="979963147">
    <w:abstractNumId w:val="5"/>
  </w:num>
  <w:num w:numId="9" w16cid:durableId="1679306873">
    <w:abstractNumId w:val="4"/>
  </w:num>
  <w:num w:numId="10" w16cid:durableId="376782085">
    <w:abstractNumId w:val="8"/>
  </w:num>
  <w:num w:numId="11" w16cid:durableId="556629284">
    <w:abstractNumId w:val="3"/>
  </w:num>
  <w:num w:numId="12" w16cid:durableId="34668572">
    <w:abstractNumId w:val="6"/>
  </w:num>
  <w:num w:numId="13" w16cid:durableId="406150281">
    <w:abstractNumId w:val="15"/>
  </w:num>
  <w:num w:numId="14" w16cid:durableId="1676419758">
    <w:abstractNumId w:val="16"/>
  </w:num>
  <w:num w:numId="15" w16cid:durableId="496001119">
    <w:abstractNumId w:val="10"/>
  </w:num>
  <w:num w:numId="16" w16cid:durableId="689529455">
    <w:abstractNumId w:val="12"/>
  </w:num>
  <w:num w:numId="17" w16cid:durableId="1747610131">
    <w:abstractNumId w:val="11"/>
  </w:num>
  <w:num w:numId="18" w16cid:durableId="1810853884">
    <w:abstractNumId w:val="0"/>
  </w:num>
  <w:num w:numId="19" w16cid:durableId="746077375">
    <w:abstractNumId w:val="0"/>
  </w:num>
  <w:num w:numId="20" w16cid:durableId="1734430278">
    <w:abstractNumId w:val="0"/>
  </w:num>
  <w:num w:numId="21" w16cid:durableId="1795172266">
    <w:abstractNumId w:val="0"/>
  </w:num>
  <w:num w:numId="22" w16cid:durableId="593251335">
    <w:abstractNumId w:val="0"/>
  </w:num>
  <w:num w:numId="23" w16cid:durableId="1125153293">
    <w:abstractNumId w:val="0"/>
  </w:num>
  <w:num w:numId="24" w16cid:durableId="372997283">
    <w:abstractNumId w:val="0"/>
  </w:num>
  <w:num w:numId="25" w16cid:durableId="1775007620">
    <w:abstractNumId w:val="4"/>
  </w:num>
  <w:num w:numId="26" w16cid:durableId="599918730">
    <w:abstractNumId w:val="4"/>
  </w:num>
  <w:num w:numId="27" w16cid:durableId="24524124">
    <w:abstractNumId w:val="4"/>
  </w:num>
  <w:num w:numId="28" w16cid:durableId="330063526">
    <w:abstractNumId w:val="4"/>
  </w:num>
  <w:num w:numId="29" w16cid:durableId="1099444694">
    <w:abstractNumId w:val="4"/>
  </w:num>
  <w:num w:numId="30" w16cid:durableId="1789354426">
    <w:abstractNumId w:val="4"/>
  </w:num>
  <w:num w:numId="31" w16cid:durableId="697582049">
    <w:abstractNumId w:val="4"/>
  </w:num>
  <w:num w:numId="32" w16cid:durableId="596641489">
    <w:abstractNumId w:val="4"/>
  </w:num>
  <w:num w:numId="33" w16cid:durableId="2045785441">
    <w:abstractNumId w:val="4"/>
  </w:num>
  <w:num w:numId="34" w16cid:durableId="1857576342">
    <w:abstractNumId w:val="0"/>
  </w:num>
  <w:num w:numId="35" w16cid:durableId="1618290418">
    <w:abstractNumId w:val="0"/>
  </w:num>
  <w:num w:numId="36" w16cid:durableId="2001418260">
    <w:abstractNumId w:val="13"/>
  </w:num>
  <w:num w:numId="37" w16cid:durableId="641277905">
    <w:abstractNumId w:val="14"/>
  </w:num>
  <w:num w:numId="38" w16cid:durableId="1820606466">
    <w:abstractNumId w:val="9"/>
  </w:num>
  <w:num w:numId="39" w16cid:durableId="456334184">
    <w:abstractNumId w:val="1"/>
  </w:num>
  <w:num w:numId="40" w16cid:durableId="522865096">
    <w:abstractNumId w:val="2"/>
  </w:num>
  <w:num w:numId="41" w16cid:durableId="792793578">
    <w:abstractNumId w:val="7"/>
  </w:num>
  <w:num w:numId="42" w16cid:durableId="1824851916">
    <w:abstractNumId w:val="7"/>
  </w:num>
  <w:num w:numId="43" w16cid:durableId="1087775783">
    <w:abstractNumId w:val="7"/>
  </w:num>
  <w:num w:numId="44" w16cid:durableId="1286348316">
    <w:abstractNumId w:val="7"/>
  </w:num>
  <w:num w:numId="45" w16cid:durableId="737705351">
    <w:abstractNumId w:val="7"/>
  </w:num>
  <w:num w:numId="46" w16cid:durableId="1629780663">
    <w:abstractNumId w:val="7"/>
  </w:num>
  <w:num w:numId="47" w16cid:durableId="1680229514">
    <w:abstractNumId w:val="7"/>
  </w:num>
  <w:num w:numId="48" w16cid:durableId="92361151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C75"/>
    <w:rsid w:val="00003F09"/>
    <w:rsid w:val="00011622"/>
    <w:rsid w:val="00015127"/>
    <w:rsid w:val="00015D6C"/>
    <w:rsid w:val="000233CE"/>
    <w:rsid w:val="00036741"/>
    <w:rsid w:val="000403B6"/>
    <w:rsid w:val="00042F9A"/>
    <w:rsid w:val="000546A1"/>
    <w:rsid w:val="0005530D"/>
    <w:rsid w:val="00056D50"/>
    <w:rsid w:val="00061632"/>
    <w:rsid w:val="00063CB6"/>
    <w:rsid w:val="00073AD7"/>
    <w:rsid w:val="00081504"/>
    <w:rsid w:val="00084551"/>
    <w:rsid w:val="000849C1"/>
    <w:rsid w:val="00096922"/>
    <w:rsid w:val="000A053F"/>
    <w:rsid w:val="000A166B"/>
    <w:rsid w:val="000B1632"/>
    <w:rsid w:val="000B568C"/>
    <w:rsid w:val="000B61BE"/>
    <w:rsid w:val="000C11C6"/>
    <w:rsid w:val="000D0643"/>
    <w:rsid w:val="000E4E8F"/>
    <w:rsid w:val="000F0EE3"/>
    <w:rsid w:val="000F4F2B"/>
    <w:rsid w:val="00116577"/>
    <w:rsid w:val="001169D1"/>
    <w:rsid w:val="00121B58"/>
    <w:rsid w:val="00122D0E"/>
    <w:rsid w:val="001241E8"/>
    <w:rsid w:val="001361DF"/>
    <w:rsid w:val="0014273E"/>
    <w:rsid w:val="001450FF"/>
    <w:rsid w:val="0014614F"/>
    <w:rsid w:val="00147CD9"/>
    <w:rsid w:val="0016113C"/>
    <w:rsid w:val="00170C89"/>
    <w:rsid w:val="0017170F"/>
    <w:rsid w:val="00171929"/>
    <w:rsid w:val="0017605F"/>
    <w:rsid w:val="00177BE1"/>
    <w:rsid w:val="00181A9C"/>
    <w:rsid w:val="00183A55"/>
    <w:rsid w:val="00185E94"/>
    <w:rsid w:val="001904CE"/>
    <w:rsid w:val="001950B9"/>
    <w:rsid w:val="001A4DA9"/>
    <w:rsid w:val="001A6663"/>
    <w:rsid w:val="001B0338"/>
    <w:rsid w:val="001C349D"/>
    <w:rsid w:val="001C4DAF"/>
    <w:rsid w:val="001C7761"/>
    <w:rsid w:val="001D564D"/>
    <w:rsid w:val="001D6BBA"/>
    <w:rsid w:val="001E0635"/>
    <w:rsid w:val="001E3A40"/>
    <w:rsid w:val="001F292F"/>
    <w:rsid w:val="001F57D8"/>
    <w:rsid w:val="001F6298"/>
    <w:rsid w:val="001F730D"/>
    <w:rsid w:val="00200B15"/>
    <w:rsid w:val="00202E71"/>
    <w:rsid w:val="00210883"/>
    <w:rsid w:val="002151A9"/>
    <w:rsid w:val="00223246"/>
    <w:rsid w:val="002279EF"/>
    <w:rsid w:val="002324AD"/>
    <w:rsid w:val="002346C3"/>
    <w:rsid w:val="00242C7C"/>
    <w:rsid w:val="00254737"/>
    <w:rsid w:val="002557B6"/>
    <w:rsid w:val="00256050"/>
    <w:rsid w:val="00270C4B"/>
    <w:rsid w:val="002756B3"/>
    <w:rsid w:val="002778B8"/>
    <w:rsid w:val="00281DD1"/>
    <w:rsid w:val="002825ED"/>
    <w:rsid w:val="00287EE8"/>
    <w:rsid w:val="00297C3C"/>
    <w:rsid w:val="002A2BF5"/>
    <w:rsid w:val="002A3044"/>
    <w:rsid w:val="002A6095"/>
    <w:rsid w:val="002A6BC7"/>
    <w:rsid w:val="002B10AD"/>
    <w:rsid w:val="002B415A"/>
    <w:rsid w:val="002C7055"/>
    <w:rsid w:val="002D0FAA"/>
    <w:rsid w:val="002E0AF8"/>
    <w:rsid w:val="003006EB"/>
    <w:rsid w:val="00305665"/>
    <w:rsid w:val="00326ECD"/>
    <w:rsid w:val="00330778"/>
    <w:rsid w:val="00331225"/>
    <w:rsid w:val="00332F07"/>
    <w:rsid w:val="00333A72"/>
    <w:rsid w:val="003372CE"/>
    <w:rsid w:val="003548FF"/>
    <w:rsid w:val="00356EF1"/>
    <w:rsid w:val="003715BB"/>
    <w:rsid w:val="00372911"/>
    <w:rsid w:val="003734A6"/>
    <w:rsid w:val="00385774"/>
    <w:rsid w:val="003A0B9C"/>
    <w:rsid w:val="003A6266"/>
    <w:rsid w:val="003A6750"/>
    <w:rsid w:val="003B1C82"/>
    <w:rsid w:val="003B2B8E"/>
    <w:rsid w:val="003B5D21"/>
    <w:rsid w:val="003C2422"/>
    <w:rsid w:val="003C4323"/>
    <w:rsid w:val="003D6EAA"/>
    <w:rsid w:val="003E093A"/>
    <w:rsid w:val="003E4DF8"/>
    <w:rsid w:val="003E58B4"/>
    <w:rsid w:val="003E64C3"/>
    <w:rsid w:val="00400832"/>
    <w:rsid w:val="004055BA"/>
    <w:rsid w:val="00406C91"/>
    <w:rsid w:val="00407EA4"/>
    <w:rsid w:val="00411514"/>
    <w:rsid w:val="00415133"/>
    <w:rsid w:val="00417A4A"/>
    <w:rsid w:val="00422980"/>
    <w:rsid w:val="00425974"/>
    <w:rsid w:val="004313F3"/>
    <w:rsid w:val="00432195"/>
    <w:rsid w:val="00433239"/>
    <w:rsid w:val="00440CF3"/>
    <w:rsid w:val="0044240F"/>
    <w:rsid w:val="00452C58"/>
    <w:rsid w:val="004556C6"/>
    <w:rsid w:val="00456B8E"/>
    <w:rsid w:val="00464F92"/>
    <w:rsid w:val="004746A3"/>
    <w:rsid w:val="004800A5"/>
    <w:rsid w:val="00486D0E"/>
    <w:rsid w:val="00496419"/>
    <w:rsid w:val="004A2451"/>
    <w:rsid w:val="004A6ACA"/>
    <w:rsid w:val="004B0BD0"/>
    <w:rsid w:val="004B1189"/>
    <w:rsid w:val="004B3C22"/>
    <w:rsid w:val="004B435B"/>
    <w:rsid w:val="004C33B1"/>
    <w:rsid w:val="004C535B"/>
    <w:rsid w:val="004D0DF1"/>
    <w:rsid w:val="004E1C48"/>
    <w:rsid w:val="004F0BF3"/>
    <w:rsid w:val="004F4ED4"/>
    <w:rsid w:val="004F5B98"/>
    <w:rsid w:val="00504454"/>
    <w:rsid w:val="005066FC"/>
    <w:rsid w:val="00507EF0"/>
    <w:rsid w:val="0051502E"/>
    <w:rsid w:val="005373FE"/>
    <w:rsid w:val="00541586"/>
    <w:rsid w:val="0054645F"/>
    <w:rsid w:val="005465B2"/>
    <w:rsid w:val="00550EB9"/>
    <w:rsid w:val="00553DF0"/>
    <w:rsid w:val="00555DB2"/>
    <w:rsid w:val="00555E01"/>
    <w:rsid w:val="005611D6"/>
    <w:rsid w:val="00566439"/>
    <w:rsid w:val="00566788"/>
    <w:rsid w:val="0057017E"/>
    <w:rsid w:val="00574ECA"/>
    <w:rsid w:val="005972CB"/>
    <w:rsid w:val="005A0F4F"/>
    <w:rsid w:val="005A5186"/>
    <w:rsid w:val="005A530A"/>
    <w:rsid w:val="005A6434"/>
    <w:rsid w:val="005A7111"/>
    <w:rsid w:val="005B044D"/>
    <w:rsid w:val="005B0CA3"/>
    <w:rsid w:val="005B5C72"/>
    <w:rsid w:val="005C18DB"/>
    <w:rsid w:val="005C33E5"/>
    <w:rsid w:val="005C52E4"/>
    <w:rsid w:val="005D7400"/>
    <w:rsid w:val="005E434E"/>
    <w:rsid w:val="005F1F71"/>
    <w:rsid w:val="005F4F7D"/>
    <w:rsid w:val="005F6317"/>
    <w:rsid w:val="005F713D"/>
    <w:rsid w:val="00604D82"/>
    <w:rsid w:val="00614958"/>
    <w:rsid w:val="0062539A"/>
    <w:rsid w:val="00635EC1"/>
    <w:rsid w:val="00642288"/>
    <w:rsid w:val="0065308F"/>
    <w:rsid w:val="00672573"/>
    <w:rsid w:val="006742CD"/>
    <w:rsid w:val="006806E0"/>
    <w:rsid w:val="0068175B"/>
    <w:rsid w:val="00682433"/>
    <w:rsid w:val="006873E2"/>
    <w:rsid w:val="00691F6C"/>
    <w:rsid w:val="00692B1E"/>
    <w:rsid w:val="006976DD"/>
    <w:rsid w:val="006B0BFC"/>
    <w:rsid w:val="006B35A4"/>
    <w:rsid w:val="006C10DE"/>
    <w:rsid w:val="006C1811"/>
    <w:rsid w:val="006C2D88"/>
    <w:rsid w:val="006C5733"/>
    <w:rsid w:val="006D2449"/>
    <w:rsid w:val="006D6A46"/>
    <w:rsid w:val="006E68EE"/>
    <w:rsid w:val="006E6DF2"/>
    <w:rsid w:val="006F05EE"/>
    <w:rsid w:val="006F13E8"/>
    <w:rsid w:val="006F1C68"/>
    <w:rsid w:val="006F2E2C"/>
    <w:rsid w:val="0070324A"/>
    <w:rsid w:val="007038C5"/>
    <w:rsid w:val="00705ABE"/>
    <w:rsid w:val="007060C7"/>
    <w:rsid w:val="00707722"/>
    <w:rsid w:val="0071350C"/>
    <w:rsid w:val="00714596"/>
    <w:rsid w:val="007145B8"/>
    <w:rsid w:val="00720B97"/>
    <w:rsid w:val="00721BCA"/>
    <w:rsid w:val="00722CDE"/>
    <w:rsid w:val="00742547"/>
    <w:rsid w:val="00744D10"/>
    <w:rsid w:val="007511E3"/>
    <w:rsid w:val="00754FAA"/>
    <w:rsid w:val="007635D5"/>
    <w:rsid w:val="00763C51"/>
    <w:rsid w:val="00781461"/>
    <w:rsid w:val="007839B4"/>
    <w:rsid w:val="00790476"/>
    <w:rsid w:val="007920C9"/>
    <w:rsid w:val="007935C8"/>
    <w:rsid w:val="0079374D"/>
    <w:rsid w:val="007A1245"/>
    <w:rsid w:val="007A3E28"/>
    <w:rsid w:val="007A6AD6"/>
    <w:rsid w:val="007B00B7"/>
    <w:rsid w:val="007B067E"/>
    <w:rsid w:val="007B297D"/>
    <w:rsid w:val="007B5B3F"/>
    <w:rsid w:val="007F7D8E"/>
    <w:rsid w:val="00807759"/>
    <w:rsid w:val="00812BBF"/>
    <w:rsid w:val="00813233"/>
    <w:rsid w:val="00820128"/>
    <w:rsid w:val="008201A0"/>
    <w:rsid w:val="00821FA1"/>
    <w:rsid w:val="008275B4"/>
    <w:rsid w:val="00834B82"/>
    <w:rsid w:val="00844C17"/>
    <w:rsid w:val="00845425"/>
    <w:rsid w:val="008469BA"/>
    <w:rsid w:val="00846AFA"/>
    <w:rsid w:val="00850E9B"/>
    <w:rsid w:val="00852822"/>
    <w:rsid w:val="00854C74"/>
    <w:rsid w:val="00854CDD"/>
    <w:rsid w:val="008558A1"/>
    <w:rsid w:val="00857B3A"/>
    <w:rsid w:val="008649D7"/>
    <w:rsid w:val="00866CBF"/>
    <w:rsid w:val="008739B0"/>
    <w:rsid w:val="00876572"/>
    <w:rsid w:val="00876E93"/>
    <w:rsid w:val="00883726"/>
    <w:rsid w:val="008846D0"/>
    <w:rsid w:val="0089716C"/>
    <w:rsid w:val="00897558"/>
    <w:rsid w:val="008A176D"/>
    <w:rsid w:val="008B46E1"/>
    <w:rsid w:val="008B6B9B"/>
    <w:rsid w:val="008B7493"/>
    <w:rsid w:val="008C7CE3"/>
    <w:rsid w:val="008D01B1"/>
    <w:rsid w:val="008D11D0"/>
    <w:rsid w:val="008D36A9"/>
    <w:rsid w:val="008E1C96"/>
    <w:rsid w:val="008E6C9C"/>
    <w:rsid w:val="008F1A7D"/>
    <w:rsid w:val="008F2FAF"/>
    <w:rsid w:val="00902D3C"/>
    <w:rsid w:val="00904E9B"/>
    <w:rsid w:val="00906D29"/>
    <w:rsid w:val="00915C75"/>
    <w:rsid w:val="009214B4"/>
    <w:rsid w:val="00931CD7"/>
    <w:rsid w:val="0093740E"/>
    <w:rsid w:val="00941A97"/>
    <w:rsid w:val="0094432D"/>
    <w:rsid w:val="00946121"/>
    <w:rsid w:val="00947C80"/>
    <w:rsid w:val="00956BF9"/>
    <w:rsid w:val="009637E9"/>
    <w:rsid w:val="00964E84"/>
    <w:rsid w:val="00967C57"/>
    <w:rsid w:val="00974DFC"/>
    <w:rsid w:val="009765A2"/>
    <w:rsid w:val="009776B7"/>
    <w:rsid w:val="00985125"/>
    <w:rsid w:val="00986AE7"/>
    <w:rsid w:val="00990BB5"/>
    <w:rsid w:val="00991666"/>
    <w:rsid w:val="00991794"/>
    <w:rsid w:val="009928D5"/>
    <w:rsid w:val="009A6D6B"/>
    <w:rsid w:val="009B3A7F"/>
    <w:rsid w:val="009B536E"/>
    <w:rsid w:val="009B6DF3"/>
    <w:rsid w:val="009C271A"/>
    <w:rsid w:val="009D307D"/>
    <w:rsid w:val="009D39D8"/>
    <w:rsid w:val="009D6782"/>
    <w:rsid w:val="009E06EE"/>
    <w:rsid w:val="009E2292"/>
    <w:rsid w:val="009E2732"/>
    <w:rsid w:val="009F087D"/>
    <w:rsid w:val="009F5178"/>
    <w:rsid w:val="009F63DF"/>
    <w:rsid w:val="009F6647"/>
    <w:rsid w:val="009F756B"/>
    <w:rsid w:val="00A067A8"/>
    <w:rsid w:val="00A0680F"/>
    <w:rsid w:val="00A16CDF"/>
    <w:rsid w:val="00A225D1"/>
    <w:rsid w:val="00A32BDA"/>
    <w:rsid w:val="00A352A6"/>
    <w:rsid w:val="00A40F41"/>
    <w:rsid w:val="00A51D89"/>
    <w:rsid w:val="00A55CDE"/>
    <w:rsid w:val="00A651A0"/>
    <w:rsid w:val="00A72F41"/>
    <w:rsid w:val="00A84885"/>
    <w:rsid w:val="00A8686C"/>
    <w:rsid w:val="00A90699"/>
    <w:rsid w:val="00A9345E"/>
    <w:rsid w:val="00AA3818"/>
    <w:rsid w:val="00AA4E89"/>
    <w:rsid w:val="00AB1033"/>
    <w:rsid w:val="00AB12CE"/>
    <w:rsid w:val="00AB26EF"/>
    <w:rsid w:val="00AB5BAC"/>
    <w:rsid w:val="00AB7510"/>
    <w:rsid w:val="00AB77D2"/>
    <w:rsid w:val="00AC695D"/>
    <w:rsid w:val="00AC79B3"/>
    <w:rsid w:val="00AE53F7"/>
    <w:rsid w:val="00AF1AA3"/>
    <w:rsid w:val="00AF7CB6"/>
    <w:rsid w:val="00B0021D"/>
    <w:rsid w:val="00B00B03"/>
    <w:rsid w:val="00B00DCD"/>
    <w:rsid w:val="00B05308"/>
    <w:rsid w:val="00B20C5F"/>
    <w:rsid w:val="00B25024"/>
    <w:rsid w:val="00B31527"/>
    <w:rsid w:val="00B32FE2"/>
    <w:rsid w:val="00B4676F"/>
    <w:rsid w:val="00B515A0"/>
    <w:rsid w:val="00B575F0"/>
    <w:rsid w:val="00B64170"/>
    <w:rsid w:val="00B673D0"/>
    <w:rsid w:val="00B713D4"/>
    <w:rsid w:val="00B73E6F"/>
    <w:rsid w:val="00B8794B"/>
    <w:rsid w:val="00B90EE3"/>
    <w:rsid w:val="00B9274A"/>
    <w:rsid w:val="00BA46CA"/>
    <w:rsid w:val="00BA5570"/>
    <w:rsid w:val="00BA5F00"/>
    <w:rsid w:val="00BA73A7"/>
    <w:rsid w:val="00BB1925"/>
    <w:rsid w:val="00BB1FBC"/>
    <w:rsid w:val="00BB2FAA"/>
    <w:rsid w:val="00BB34F5"/>
    <w:rsid w:val="00BC0F70"/>
    <w:rsid w:val="00BC61CC"/>
    <w:rsid w:val="00BD1A12"/>
    <w:rsid w:val="00BD3DCB"/>
    <w:rsid w:val="00BE0F57"/>
    <w:rsid w:val="00BE2177"/>
    <w:rsid w:val="00BF1512"/>
    <w:rsid w:val="00BF517C"/>
    <w:rsid w:val="00C048A6"/>
    <w:rsid w:val="00C07227"/>
    <w:rsid w:val="00C07C39"/>
    <w:rsid w:val="00C10D86"/>
    <w:rsid w:val="00C13F79"/>
    <w:rsid w:val="00C161A1"/>
    <w:rsid w:val="00C44359"/>
    <w:rsid w:val="00C52FA1"/>
    <w:rsid w:val="00C67293"/>
    <w:rsid w:val="00C8208E"/>
    <w:rsid w:val="00C84471"/>
    <w:rsid w:val="00CB311F"/>
    <w:rsid w:val="00CB4DDD"/>
    <w:rsid w:val="00CB7E39"/>
    <w:rsid w:val="00CC1883"/>
    <w:rsid w:val="00CC4906"/>
    <w:rsid w:val="00CE379F"/>
    <w:rsid w:val="00CF1088"/>
    <w:rsid w:val="00CF21C3"/>
    <w:rsid w:val="00CF5469"/>
    <w:rsid w:val="00D01347"/>
    <w:rsid w:val="00D01DFA"/>
    <w:rsid w:val="00D0478C"/>
    <w:rsid w:val="00D05ED1"/>
    <w:rsid w:val="00D1241C"/>
    <w:rsid w:val="00D24011"/>
    <w:rsid w:val="00D310C3"/>
    <w:rsid w:val="00D331F0"/>
    <w:rsid w:val="00D34E1B"/>
    <w:rsid w:val="00D35B3B"/>
    <w:rsid w:val="00D36BEA"/>
    <w:rsid w:val="00D4098A"/>
    <w:rsid w:val="00D42B02"/>
    <w:rsid w:val="00D67F11"/>
    <w:rsid w:val="00D72650"/>
    <w:rsid w:val="00D72C46"/>
    <w:rsid w:val="00D76648"/>
    <w:rsid w:val="00D862C8"/>
    <w:rsid w:val="00D8692E"/>
    <w:rsid w:val="00D926EE"/>
    <w:rsid w:val="00DA0917"/>
    <w:rsid w:val="00DA5073"/>
    <w:rsid w:val="00DA7348"/>
    <w:rsid w:val="00DB1999"/>
    <w:rsid w:val="00DB2F04"/>
    <w:rsid w:val="00DB429F"/>
    <w:rsid w:val="00DB453F"/>
    <w:rsid w:val="00DC0B73"/>
    <w:rsid w:val="00DC35F8"/>
    <w:rsid w:val="00DC75B9"/>
    <w:rsid w:val="00DD01E9"/>
    <w:rsid w:val="00DD4288"/>
    <w:rsid w:val="00DD56B8"/>
    <w:rsid w:val="00DE1AB9"/>
    <w:rsid w:val="00DE3443"/>
    <w:rsid w:val="00E024DA"/>
    <w:rsid w:val="00E03967"/>
    <w:rsid w:val="00E06EE7"/>
    <w:rsid w:val="00E1507D"/>
    <w:rsid w:val="00E15725"/>
    <w:rsid w:val="00E16B10"/>
    <w:rsid w:val="00E305D4"/>
    <w:rsid w:val="00E35840"/>
    <w:rsid w:val="00E35D8A"/>
    <w:rsid w:val="00E43DFC"/>
    <w:rsid w:val="00E4432B"/>
    <w:rsid w:val="00E460A3"/>
    <w:rsid w:val="00E46127"/>
    <w:rsid w:val="00E46427"/>
    <w:rsid w:val="00E54D17"/>
    <w:rsid w:val="00E5772E"/>
    <w:rsid w:val="00E669CD"/>
    <w:rsid w:val="00E734E7"/>
    <w:rsid w:val="00E809A1"/>
    <w:rsid w:val="00E82ED5"/>
    <w:rsid w:val="00E86A1C"/>
    <w:rsid w:val="00EA0098"/>
    <w:rsid w:val="00EC0D26"/>
    <w:rsid w:val="00EC2398"/>
    <w:rsid w:val="00EC2CEB"/>
    <w:rsid w:val="00EC39DD"/>
    <w:rsid w:val="00EC51CC"/>
    <w:rsid w:val="00ED1F8E"/>
    <w:rsid w:val="00ED2AD3"/>
    <w:rsid w:val="00ED7F6F"/>
    <w:rsid w:val="00EE2F93"/>
    <w:rsid w:val="00EE331D"/>
    <w:rsid w:val="00EF10EA"/>
    <w:rsid w:val="00EF6158"/>
    <w:rsid w:val="00F00C17"/>
    <w:rsid w:val="00F048BC"/>
    <w:rsid w:val="00F05FAE"/>
    <w:rsid w:val="00F065EC"/>
    <w:rsid w:val="00F112BA"/>
    <w:rsid w:val="00F13FF9"/>
    <w:rsid w:val="00F200BB"/>
    <w:rsid w:val="00F24918"/>
    <w:rsid w:val="00F2663D"/>
    <w:rsid w:val="00F37555"/>
    <w:rsid w:val="00F43FF6"/>
    <w:rsid w:val="00F546FA"/>
    <w:rsid w:val="00F54EB9"/>
    <w:rsid w:val="00F6461F"/>
    <w:rsid w:val="00F66850"/>
    <w:rsid w:val="00F819AA"/>
    <w:rsid w:val="00F90EFA"/>
    <w:rsid w:val="00F95829"/>
    <w:rsid w:val="00F95F4C"/>
    <w:rsid w:val="00FA08DC"/>
    <w:rsid w:val="00FA2229"/>
    <w:rsid w:val="00FB337E"/>
    <w:rsid w:val="00FB51E2"/>
    <w:rsid w:val="00FB6914"/>
    <w:rsid w:val="00FE662F"/>
    <w:rsid w:val="00FE6A3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32F54"/>
  <w15:docId w15:val="{51B864E1-44F0-4BDC-8C9F-F172680A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48"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iPriority="9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8"/>
    <w:qFormat/>
    <w:rsid w:val="00BE2177"/>
    <w:pPr>
      <w:spacing w:after="0" w:line="240" w:lineRule="auto"/>
    </w:pPr>
    <w:rPr>
      <w:rFonts w:ascii="Times New Roman" w:eastAsia="MS Mincho" w:hAnsi="Times New Roman" w:cs="Times New Roman"/>
    </w:rPr>
  </w:style>
  <w:style w:type="paragraph" w:styleId="Heading1">
    <w:name w:val="heading 1"/>
    <w:basedOn w:val="Normal"/>
    <w:next w:val="Heading2"/>
    <w:link w:val="Heading1Char"/>
    <w:qFormat/>
    <w:rsid w:val="00BE2177"/>
    <w:pPr>
      <w:keepNext/>
      <w:keepLines/>
      <w:widowControl w:val="0"/>
      <w:numPr>
        <w:numId w:val="33"/>
      </w:numPr>
      <w:spacing w:before="360" w:after="180"/>
      <w:outlineLvl w:val="0"/>
    </w:pPr>
    <w:rPr>
      <w:b/>
      <w:bCs/>
      <w:sz w:val="26"/>
    </w:rPr>
  </w:style>
  <w:style w:type="paragraph" w:styleId="Heading2">
    <w:name w:val="heading 2"/>
    <w:basedOn w:val="Normal"/>
    <w:next w:val="wText1"/>
    <w:link w:val="Heading2Char"/>
    <w:qFormat/>
    <w:rsid w:val="00BE2177"/>
    <w:pPr>
      <w:keepNext/>
      <w:numPr>
        <w:ilvl w:val="1"/>
        <w:numId w:val="33"/>
      </w:numPr>
      <w:spacing w:after="180"/>
      <w:jc w:val="both"/>
      <w:outlineLvl w:val="1"/>
    </w:pPr>
    <w:rPr>
      <w:b/>
      <w:bCs/>
    </w:rPr>
  </w:style>
  <w:style w:type="paragraph" w:styleId="Heading3">
    <w:name w:val="heading 3"/>
    <w:basedOn w:val="Normal"/>
    <w:link w:val="Heading3Char"/>
    <w:qFormat/>
    <w:rsid w:val="00BE2177"/>
    <w:pPr>
      <w:numPr>
        <w:ilvl w:val="2"/>
        <w:numId w:val="33"/>
      </w:numPr>
      <w:spacing w:after="180"/>
      <w:jc w:val="both"/>
      <w:outlineLvl w:val="2"/>
    </w:pPr>
  </w:style>
  <w:style w:type="paragraph" w:styleId="Heading4">
    <w:name w:val="heading 4"/>
    <w:basedOn w:val="Normal"/>
    <w:link w:val="Heading4Char"/>
    <w:qFormat/>
    <w:rsid w:val="00BE2177"/>
    <w:pPr>
      <w:numPr>
        <w:ilvl w:val="3"/>
        <w:numId w:val="33"/>
      </w:numPr>
      <w:spacing w:after="180"/>
      <w:jc w:val="both"/>
      <w:outlineLvl w:val="3"/>
    </w:pPr>
  </w:style>
  <w:style w:type="paragraph" w:styleId="Heading5">
    <w:name w:val="heading 5"/>
    <w:basedOn w:val="Normal"/>
    <w:link w:val="Heading5Char"/>
    <w:qFormat/>
    <w:rsid w:val="00BE2177"/>
    <w:pPr>
      <w:numPr>
        <w:ilvl w:val="4"/>
        <w:numId w:val="33"/>
      </w:numPr>
      <w:spacing w:after="180"/>
      <w:jc w:val="both"/>
      <w:outlineLvl w:val="4"/>
    </w:pPr>
  </w:style>
  <w:style w:type="paragraph" w:styleId="Heading6">
    <w:name w:val="heading 6"/>
    <w:basedOn w:val="Normal"/>
    <w:link w:val="Heading6Char"/>
    <w:qFormat/>
    <w:rsid w:val="00BE2177"/>
    <w:pPr>
      <w:numPr>
        <w:ilvl w:val="5"/>
        <w:numId w:val="33"/>
      </w:numPr>
      <w:spacing w:after="180"/>
      <w:jc w:val="both"/>
      <w:outlineLvl w:val="5"/>
    </w:pPr>
  </w:style>
  <w:style w:type="paragraph" w:styleId="Heading7">
    <w:name w:val="heading 7"/>
    <w:basedOn w:val="Normal"/>
    <w:link w:val="Heading7Char"/>
    <w:qFormat/>
    <w:rsid w:val="00BE2177"/>
    <w:pPr>
      <w:numPr>
        <w:ilvl w:val="6"/>
        <w:numId w:val="33"/>
      </w:numPr>
      <w:spacing w:after="180"/>
      <w:jc w:val="both"/>
      <w:outlineLvl w:val="6"/>
    </w:pPr>
  </w:style>
  <w:style w:type="paragraph" w:styleId="Heading8">
    <w:name w:val="heading 8"/>
    <w:basedOn w:val="Normal"/>
    <w:next w:val="Normal"/>
    <w:link w:val="Heading8Char"/>
    <w:qFormat/>
    <w:rsid w:val="00BE2177"/>
    <w:pPr>
      <w:numPr>
        <w:ilvl w:val="7"/>
        <w:numId w:val="33"/>
      </w:numPr>
      <w:spacing w:after="180"/>
      <w:jc w:val="both"/>
      <w:outlineLvl w:val="7"/>
    </w:pPr>
    <w:rPr>
      <w:color w:val="000000" w:themeColor="text1"/>
    </w:rPr>
  </w:style>
  <w:style w:type="paragraph" w:styleId="Heading9">
    <w:name w:val="heading 9"/>
    <w:basedOn w:val="Normal"/>
    <w:next w:val="wText"/>
    <w:link w:val="Heading9Char"/>
    <w:qFormat/>
    <w:rsid w:val="00BE2177"/>
    <w:pPr>
      <w:numPr>
        <w:ilvl w:val="8"/>
        <w:numId w:val="33"/>
      </w:numPr>
      <w:spacing w:after="18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49"/>
    <w:qFormat/>
    <w:rsid w:val="00BE2177"/>
    <w:pPr>
      <w:spacing w:after="0" w:line="240" w:lineRule="auto"/>
    </w:pPr>
    <w:rPr>
      <w:rFonts w:eastAsia="Times New Roman"/>
      <w:lang w:eastAsia="ja-JP"/>
    </w:rPr>
  </w:style>
  <w:style w:type="paragraph" w:customStyle="1" w:styleId="wText">
    <w:name w:val="wText"/>
    <w:basedOn w:val="Normal"/>
    <w:link w:val="wTextChar"/>
    <w:uiPriority w:val="1"/>
    <w:qFormat/>
    <w:rsid w:val="00BE2177"/>
    <w:pPr>
      <w:spacing w:after="180"/>
      <w:jc w:val="both"/>
    </w:pPr>
  </w:style>
  <w:style w:type="paragraph" w:customStyle="1" w:styleId="wText1">
    <w:name w:val="wText1"/>
    <w:basedOn w:val="Normal"/>
    <w:uiPriority w:val="1"/>
    <w:qFormat/>
    <w:rsid w:val="00BE2177"/>
    <w:pPr>
      <w:spacing w:after="180"/>
      <w:ind w:left="720"/>
      <w:jc w:val="both"/>
    </w:pPr>
  </w:style>
  <w:style w:type="paragraph" w:customStyle="1" w:styleId="wText2">
    <w:name w:val="wText2"/>
    <w:basedOn w:val="Normal"/>
    <w:uiPriority w:val="1"/>
    <w:qFormat/>
    <w:rsid w:val="00BE2177"/>
    <w:pPr>
      <w:spacing w:after="180"/>
      <w:ind w:left="1440"/>
      <w:jc w:val="both"/>
    </w:pPr>
  </w:style>
  <w:style w:type="paragraph" w:customStyle="1" w:styleId="Text2">
    <w:name w:val="Text 2"/>
    <w:basedOn w:val="Normal"/>
    <w:semiHidden/>
    <w:rsid w:val="00BE2177"/>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al"/>
    <w:uiPriority w:val="5"/>
    <w:qFormat/>
    <w:rsid w:val="00BE2177"/>
    <w:pPr>
      <w:spacing w:after="180"/>
      <w:jc w:val="center"/>
    </w:pPr>
  </w:style>
  <w:style w:type="paragraph" w:customStyle="1" w:styleId="wCenterB">
    <w:name w:val="wCenterB"/>
    <w:basedOn w:val="Normal"/>
    <w:uiPriority w:val="6"/>
    <w:qFormat/>
    <w:rsid w:val="00BE2177"/>
    <w:pPr>
      <w:spacing w:after="180"/>
      <w:jc w:val="center"/>
    </w:pPr>
    <w:rPr>
      <w:b/>
    </w:rPr>
  </w:style>
  <w:style w:type="paragraph" w:customStyle="1" w:styleId="wLeftB">
    <w:name w:val="wLeftB"/>
    <w:basedOn w:val="Normal"/>
    <w:uiPriority w:val="10"/>
    <w:qFormat/>
    <w:rsid w:val="00BE2177"/>
    <w:pPr>
      <w:keepNext/>
      <w:spacing w:after="180"/>
    </w:pPr>
    <w:rPr>
      <w:b/>
    </w:rPr>
  </w:style>
  <w:style w:type="paragraph" w:customStyle="1" w:styleId="wLeftI">
    <w:name w:val="wLeftI"/>
    <w:basedOn w:val="Normal"/>
    <w:uiPriority w:val="10"/>
    <w:qFormat/>
    <w:rsid w:val="00BE2177"/>
    <w:pPr>
      <w:spacing w:after="180"/>
    </w:pPr>
    <w:rPr>
      <w:i/>
    </w:rPr>
  </w:style>
  <w:style w:type="character" w:customStyle="1" w:styleId="Heading1Char">
    <w:name w:val="Heading 1 Char"/>
    <w:basedOn w:val="DefaultParagraphFont"/>
    <w:link w:val="Heading1"/>
    <w:rsid w:val="00BE2177"/>
    <w:rPr>
      <w:rFonts w:ascii="Times New Roman" w:eastAsia="MS Mincho" w:hAnsi="Times New Roman" w:cs="Times New Roman"/>
      <w:b/>
      <w:bCs/>
      <w:sz w:val="26"/>
    </w:rPr>
  </w:style>
  <w:style w:type="character" w:customStyle="1" w:styleId="Heading2Char">
    <w:name w:val="Heading 2 Char"/>
    <w:basedOn w:val="DefaultParagraphFont"/>
    <w:link w:val="Heading2"/>
    <w:rsid w:val="00BE2177"/>
    <w:rPr>
      <w:rFonts w:ascii="Times New Roman" w:eastAsia="MS Mincho" w:hAnsi="Times New Roman" w:cs="Times New Roman"/>
      <w:b/>
      <w:bCs/>
    </w:rPr>
  </w:style>
  <w:style w:type="character" w:customStyle="1" w:styleId="Heading3Char">
    <w:name w:val="Heading 3 Char"/>
    <w:basedOn w:val="DefaultParagraphFont"/>
    <w:link w:val="Heading3"/>
    <w:rsid w:val="00BE2177"/>
    <w:rPr>
      <w:rFonts w:ascii="Times New Roman" w:eastAsia="MS Mincho" w:hAnsi="Times New Roman" w:cs="Times New Roman"/>
    </w:rPr>
  </w:style>
  <w:style w:type="character" w:customStyle="1" w:styleId="Heading4Char">
    <w:name w:val="Heading 4 Char"/>
    <w:basedOn w:val="DefaultParagraphFont"/>
    <w:link w:val="Heading4"/>
    <w:rsid w:val="00BE2177"/>
    <w:rPr>
      <w:rFonts w:ascii="Times New Roman" w:eastAsia="MS Mincho" w:hAnsi="Times New Roman" w:cs="Times New Roman"/>
    </w:rPr>
  </w:style>
  <w:style w:type="character" w:customStyle="1" w:styleId="Heading5Char">
    <w:name w:val="Heading 5 Char"/>
    <w:basedOn w:val="DefaultParagraphFont"/>
    <w:link w:val="Heading5"/>
    <w:rsid w:val="00BE2177"/>
    <w:rPr>
      <w:rFonts w:ascii="Times New Roman" w:eastAsia="MS Mincho" w:hAnsi="Times New Roman" w:cs="Times New Roman"/>
    </w:rPr>
  </w:style>
  <w:style w:type="character" w:customStyle="1" w:styleId="Heading6Char">
    <w:name w:val="Heading 6 Char"/>
    <w:basedOn w:val="DefaultParagraphFont"/>
    <w:link w:val="Heading6"/>
    <w:rsid w:val="00BE2177"/>
    <w:rPr>
      <w:rFonts w:ascii="Times New Roman" w:eastAsia="MS Mincho" w:hAnsi="Times New Roman" w:cs="Times New Roman"/>
    </w:rPr>
  </w:style>
  <w:style w:type="character" w:customStyle="1" w:styleId="Heading7Char">
    <w:name w:val="Heading 7 Char"/>
    <w:basedOn w:val="DefaultParagraphFont"/>
    <w:link w:val="Heading7"/>
    <w:rsid w:val="00BE2177"/>
    <w:rPr>
      <w:rFonts w:ascii="Times New Roman" w:eastAsia="MS Mincho" w:hAnsi="Times New Roman" w:cs="Times New Roman"/>
    </w:rPr>
  </w:style>
  <w:style w:type="character" w:customStyle="1" w:styleId="Heading8Char">
    <w:name w:val="Heading 8 Char"/>
    <w:basedOn w:val="DefaultParagraphFont"/>
    <w:link w:val="Heading8"/>
    <w:rsid w:val="00BE2177"/>
    <w:rPr>
      <w:rFonts w:ascii="Times New Roman" w:eastAsia="MS Mincho" w:hAnsi="Times New Roman" w:cs="Times New Roman"/>
      <w:color w:val="000000" w:themeColor="text1"/>
    </w:rPr>
  </w:style>
  <w:style w:type="character" w:customStyle="1" w:styleId="Heading9Char">
    <w:name w:val="Heading 9 Char"/>
    <w:basedOn w:val="DefaultParagraphFont"/>
    <w:link w:val="Heading9"/>
    <w:rsid w:val="00BE2177"/>
    <w:rPr>
      <w:rFonts w:ascii="Times New Roman" w:eastAsia="MS Mincho" w:hAnsi="Times New Roman" w:cs="Times New Roman"/>
    </w:rPr>
  </w:style>
  <w:style w:type="paragraph" w:styleId="Title">
    <w:name w:val="Title"/>
    <w:basedOn w:val="Normal"/>
    <w:next w:val="Normal"/>
    <w:link w:val="TitleChar"/>
    <w:uiPriority w:val="49"/>
    <w:semiHidden/>
    <w:qFormat/>
    <w:rsid w:val="00BE2177"/>
    <w:pPr>
      <w:pBdr>
        <w:bottom w:val="single" w:sz="8" w:space="4" w:color="00A5D9" w:themeColor="accent1"/>
      </w:pBdr>
      <w:spacing w:after="240"/>
      <w:contextualSpacing/>
      <w:jc w:val="center"/>
    </w:pPr>
    <w:rPr>
      <w:rFonts w:eastAsia="Times New Roman"/>
      <w:b/>
      <w:color w:val="000000" w:themeColor="text1"/>
      <w:spacing w:val="5"/>
      <w:kern w:val="28"/>
      <w:szCs w:val="52"/>
    </w:rPr>
  </w:style>
  <w:style w:type="character" w:customStyle="1" w:styleId="TitleChar">
    <w:name w:val="Title Char"/>
    <w:basedOn w:val="DefaultParagraphFont"/>
    <w:link w:val="Title"/>
    <w:uiPriority w:val="49"/>
    <w:semiHidden/>
    <w:rsid w:val="00BE2177"/>
    <w:rPr>
      <w:rFonts w:ascii="Times New Roman" w:eastAsia="Times New Roman" w:hAnsi="Times New Roman" w:cs="Times New Roman"/>
      <w:b/>
      <w:color w:val="000000" w:themeColor="text1"/>
      <w:spacing w:val="5"/>
      <w:kern w:val="28"/>
      <w:szCs w:val="52"/>
    </w:rPr>
  </w:style>
  <w:style w:type="paragraph" w:styleId="Subtitle">
    <w:name w:val="Subtitle"/>
    <w:basedOn w:val="Normal"/>
    <w:next w:val="Normal"/>
    <w:link w:val="SubtitleChar"/>
    <w:uiPriority w:val="49"/>
    <w:semiHidden/>
    <w:qFormat/>
    <w:rsid w:val="00BE2177"/>
    <w:pPr>
      <w:numPr>
        <w:ilvl w:val="1"/>
      </w:numPr>
      <w:spacing w:after="240"/>
      <w:jc w:val="center"/>
    </w:pPr>
    <w:rPr>
      <w:rFonts w:eastAsia="Times New Roman"/>
      <w:i/>
      <w:iCs/>
      <w:color w:val="000000" w:themeColor="text1"/>
      <w:spacing w:val="15"/>
      <w:szCs w:val="24"/>
    </w:rPr>
  </w:style>
  <w:style w:type="character" w:customStyle="1" w:styleId="SubtitleChar">
    <w:name w:val="Subtitle Char"/>
    <w:basedOn w:val="DefaultParagraphFont"/>
    <w:link w:val="Subtitle"/>
    <w:uiPriority w:val="49"/>
    <w:semiHidden/>
    <w:rsid w:val="00BE2177"/>
    <w:rPr>
      <w:rFonts w:ascii="Times New Roman" w:eastAsia="Times New Roman" w:hAnsi="Times New Roman" w:cs="Times New Roman"/>
      <w:i/>
      <w:iCs/>
      <w:color w:val="000000" w:themeColor="text1"/>
      <w:spacing w:val="15"/>
      <w:szCs w:val="24"/>
    </w:rPr>
  </w:style>
  <w:style w:type="character" w:customStyle="1" w:styleId="NoSpacingChar">
    <w:name w:val="No Spacing Char"/>
    <w:basedOn w:val="DefaultParagraphFont"/>
    <w:link w:val="NoSpacing"/>
    <w:uiPriority w:val="49"/>
    <w:rsid w:val="00BE2177"/>
    <w:rPr>
      <w:rFonts w:eastAsia="Times New Roman"/>
      <w:lang w:eastAsia="ja-JP"/>
    </w:rPr>
  </w:style>
  <w:style w:type="paragraph" w:styleId="BalloonText">
    <w:name w:val="Balloon Text"/>
    <w:basedOn w:val="Normal"/>
    <w:link w:val="BalloonTextChar"/>
    <w:uiPriority w:val="99"/>
    <w:semiHidden/>
    <w:unhideWhenUsed/>
    <w:rsid w:val="00BE2177"/>
    <w:rPr>
      <w:rFonts w:ascii="Tahoma" w:hAnsi="Tahoma" w:cs="Tahoma"/>
      <w:sz w:val="16"/>
      <w:szCs w:val="16"/>
    </w:rPr>
  </w:style>
  <w:style w:type="character" w:customStyle="1" w:styleId="BalloonTextChar">
    <w:name w:val="Balloon Text Char"/>
    <w:basedOn w:val="DefaultParagraphFont"/>
    <w:link w:val="BalloonText"/>
    <w:uiPriority w:val="99"/>
    <w:semiHidden/>
    <w:rsid w:val="00BE2177"/>
    <w:rPr>
      <w:rFonts w:ascii="Tahoma" w:eastAsia="MS Mincho" w:hAnsi="Tahoma" w:cs="Tahoma"/>
      <w:sz w:val="16"/>
      <w:szCs w:val="16"/>
    </w:rPr>
  </w:style>
  <w:style w:type="paragraph" w:styleId="Header">
    <w:name w:val="header"/>
    <w:basedOn w:val="Normal"/>
    <w:link w:val="HeaderChar"/>
    <w:uiPriority w:val="49"/>
    <w:rsid w:val="00BE2177"/>
    <w:pPr>
      <w:jc w:val="both"/>
    </w:pPr>
    <w:rPr>
      <w:rFonts w:eastAsia="Times New Roman"/>
      <w:szCs w:val="20"/>
      <w:lang w:eastAsia="de-DE"/>
    </w:rPr>
  </w:style>
  <w:style w:type="character" w:customStyle="1" w:styleId="HeaderChar">
    <w:name w:val="Header Char"/>
    <w:basedOn w:val="DefaultParagraphFont"/>
    <w:link w:val="Header"/>
    <w:uiPriority w:val="49"/>
    <w:rsid w:val="00BE2177"/>
    <w:rPr>
      <w:rFonts w:ascii="Times New Roman" w:eastAsia="Times New Roman" w:hAnsi="Times New Roman" w:cs="Times New Roman"/>
      <w:szCs w:val="20"/>
      <w:lang w:eastAsia="de-DE"/>
    </w:rPr>
  </w:style>
  <w:style w:type="paragraph" w:styleId="Footer">
    <w:name w:val="footer"/>
    <w:basedOn w:val="Normal"/>
    <w:link w:val="FooterChar"/>
    <w:uiPriority w:val="49"/>
    <w:rsid w:val="00BE2177"/>
    <w:pPr>
      <w:tabs>
        <w:tab w:val="center" w:pos="4536"/>
        <w:tab w:val="right" w:pos="9072"/>
      </w:tabs>
    </w:pPr>
    <w:rPr>
      <w:rFonts w:eastAsia="Times New Roman"/>
      <w:sz w:val="16"/>
      <w:szCs w:val="20"/>
      <w:lang w:eastAsia="de-DE"/>
    </w:rPr>
  </w:style>
  <w:style w:type="character" w:customStyle="1" w:styleId="FooterChar">
    <w:name w:val="Footer Char"/>
    <w:basedOn w:val="DefaultParagraphFont"/>
    <w:link w:val="Footer"/>
    <w:uiPriority w:val="49"/>
    <w:rsid w:val="00BE2177"/>
    <w:rPr>
      <w:rFonts w:ascii="Times New Roman" w:eastAsia="Times New Roman" w:hAnsi="Times New Roman" w:cs="Times New Roman"/>
      <w:sz w:val="16"/>
      <w:szCs w:val="20"/>
      <w:lang w:eastAsia="de-DE"/>
    </w:rPr>
  </w:style>
  <w:style w:type="paragraph" w:customStyle="1" w:styleId="WCPageNumber">
    <w:name w:val="WCPageNumber"/>
    <w:link w:val="WCPageNumberChar"/>
    <w:uiPriority w:val="99"/>
    <w:rsid w:val="00BE2177"/>
    <w:pPr>
      <w:spacing w:after="0" w:line="240" w:lineRule="auto"/>
      <w:jc w:val="center"/>
    </w:pPr>
    <w:rPr>
      <w:rFonts w:ascii="Times New Roman" w:hAnsi="Times New Roman" w:cs="Times New Roman"/>
    </w:rPr>
  </w:style>
  <w:style w:type="character" w:customStyle="1" w:styleId="WCPageNumberChar">
    <w:name w:val="WCPageNumber Char"/>
    <w:basedOn w:val="DefaultParagraphFont"/>
    <w:link w:val="WCPageNumber"/>
    <w:uiPriority w:val="99"/>
    <w:rsid w:val="00BE2177"/>
    <w:rPr>
      <w:rFonts w:ascii="Times New Roman" w:hAnsi="Times New Roman" w:cs="Times New Roman"/>
    </w:rPr>
  </w:style>
  <w:style w:type="paragraph" w:customStyle="1" w:styleId="wQuote1">
    <w:name w:val="wQuote1"/>
    <w:basedOn w:val="Normal"/>
    <w:uiPriority w:val="4"/>
    <w:qFormat/>
    <w:rsid w:val="00BE2177"/>
    <w:pPr>
      <w:spacing w:after="180"/>
      <w:ind w:left="720"/>
      <w:jc w:val="both"/>
    </w:pPr>
    <w:rPr>
      <w:i/>
    </w:rPr>
  </w:style>
  <w:style w:type="paragraph" w:customStyle="1" w:styleId="wQuote2">
    <w:name w:val="wQuote2"/>
    <w:basedOn w:val="Normal"/>
    <w:uiPriority w:val="4"/>
    <w:qFormat/>
    <w:rsid w:val="00BE2177"/>
    <w:pPr>
      <w:spacing w:after="180"/>
      <w:ind w:left="1440"/>
      <w:jc w:val="both"/>
    </w:pPr>
    <w:rPr>
      <w:i/>
    </w:rPr>
  </w:style>
  <w:style w:type="paragraph" w:customStyle="1" w:styleId="wQuote3">
    <w:name w:val="wQuote3"/>
    <w:basedOn w:val="Normal"/>
    <w:uiPriority w:val="4"/>
    <w:qFormat/>
    <w:rsid w:val="00BE2177"/>
    <w:pPr>
      <w:spacing w:after="180"/>
      <w:ind w:left="2160"/>
      <w:jc w:val="both"/>
    </w:pPr>
    <w:rPr>
      <w:i/>
    </w:rPr>
  </w:style>
  <w:style w:type="paragraph" w:customStyle="1" w:styleId="wText3">
    <w:name w:val="wText3"/>
    <w:basedOn w:val="Normal"/>
    <w:uiPriority w:val="1"/>
    <w:qFormat/>
    <w:rsid w:val="00BE2177"/>
    <w:pPr>
      <w:spacing w:after="180"/>
      <w:ind w:left="2160"/>
      <w:jc w:val="both"/>
    </w:pPr>
  </w:style>
  <w:style w:type="paragraph" w:customStyle="1" w:styleId="wBullet">
    <w:name w:val="wBullet"/>
    <w:basedOn w:val="Normal"/>
    <w:uiPriority w:val="8"/>
    <w:qFormat/>
    <w:rsid w:val="002E0AF8"/>
    <w:pPr>
      <w:numPr>
        <w:numId w:val="36"/>
      </w:numPr>
      <w:spacing w:after="180"/>
      <w:ind w:hanging="720"/>
      <w:jc w:val="both"/>
    </w:pPr>
  </w:style>
  <w:style w:type="paragraph" w:customStyle="1" w:styleId="wBullet1">
    <w:name w:val="wBullet1"/>
    <w:basedOn w:val="Normal"/>
    <w:uiPriority w:val="8"/>
    <w:qFormat/>
    <w:rsid w:val="0079374D"/>
    <w:pPr>
      <w:numPr>
        <w:numId w:val="37"/>
      </w:numPr>
      <w:spacing w:after="180"/>
      <w:ind w:left="1440" w:hanging="720"/>
      <w:jc w:val="both"/>
    </w:pPr>
  </w:style>
  <w:style w:type="paragraph" w:customStyle="1" w:styleId="wBullet2">
    <w:name w:val="wBullet2"/>
    <w:basedOn w:val="Normal"/>
    <w:uiPriority w:val="8"/>
    <w:qFormat/>
    <w:rsid w:val="0079374D"/>
    <w:pPr>
      <w:numPr>
        <w:numId w:val="38"/>
      </w:numPr>
      <w:spacing w:after="180"/>
      <w:ind w:left="2160" w:hanging="720"/>
      <w:jc w:val="both"/>
    </w:pPr>
  </w:style>
  <w:style w:type="paragraph" w:customStyle="1" w:styleId="wBullet3">
    <w:name w:val="wBullet3"/>
    <w:basedOn w:val="Normal"/>
    <w:uiPriority w:val="8"/>
    <w:qFormat/>
    <w:rsid w:val="0079374D"/>
    <w:pPr>
      <w:numPr>
        <w:numId w:val="39"/>
      </w:numPr>
      <w:spacing w:after="180"/>
      <w:ind w:left="2880" w:hanging="720"/>
      <w:jc w:val="both"/>
    </w:pPr>
  </w:style>
  <w:style w:type="paragraph" w:customStyle="1" w:styleId="DraftLineWC">
    <w:name w:val="DraftLineW&amp;C"/>
    <w:basedOn w:val="Normal"/>
    <w:uiPriority w:val="99"/>
    <w:semiHidden/>
    <w:rsid w:val="00BE2177"/>
    <w:pPr>
      <w:framePr w:w="5328" w:hSpace="187" w:vSpace="187" w:wrap="around" w:vAnchor="page" w:hAnchor="page" w:x="5761" w:y="721"/>
      <w:jc w:val="right"/>
    </w:pPr>
    <w:rPr>
      <w:rFonts w:eastAsia="Times New Roman"/>
      <w:sz w:val="20"/>
      <w:szCs w:val="24"/>
    </w:rPr>
  </w:style>
  <w:style w:type="paragraph" w:styleId="TOC1">
    <w:name w:val="toc 1"/>
    <w:basedOn w:val="Normal"/>
    <w:next w:val="Normal"/>
    <w:autoRedefine/>
    <w:uiPriority w:val="39"/>
    <w:rsid w:val="00BE2177"/>
    <w:pPr>
      <w:tabs>
        <w:tab w:val="left" w:pos="720"/>
        <w:tab w:val="right" w:leader="dot" w:pos="9072"/>
      </w:tabs>
      <w:spacing w:before="120"/>
      <w:ind w:left="720" w:right="386" w:hanging="720"/>
    </w:pPr>
  </w:style>
  <w:style w:type="paragraph" w:styleId="TOC2">
    <w:name w:val="toc 2"/>
    <w:basedOn w:val="Normal"/>
    <w:next w:val="Normal"/>
    <w:autoRedefine/>
    <w:uiPriority w:val="39"/>
    <w:rsid w:val="00BE2177"/>
    <w:pPr>
      <w:tabs>
        <w:tab w:val="left" w:pos="720"/>
        <w:tab w:val="right" w:leader="dot" w:pos="9072"/>
      </w:tabs>
      <w:snapToGrid w:val="0"/>
      <w:ind w:left="720" w:right="386" w:hanging="720"/>
      <w:contextualSpacing/>
    </w:pPr>
  </w:style>
  <w:style w:type="paragraph" w:customStyle="1" w:styleId="Definition1">
    <w:name w:val="Definition 1"/>
    <w:basedOn w:val="Normal"/>
    <w:uiPriority w:val="2"/>
    <w:qFormat/>
    <w:rsid w:val="00BE2177"/>
    <w:pPr>
      <w:numPr>
        <w:numId w:val="35"/>
      </w:numPr>
      <w:spacing w:after="180"/>
      <w:jc w:val="both"/>
    </w:pPr>
  </w:style>
  <w:style w:type="paragraph" w:customStyle="1" w:styleId="Definition2">
    <w:name w:val="Definition 2"/>
    <w:basedOn w:val="Normal"/>
    <w:uiPriority w:val="2"/>
    <w:qFormat/>
    <w:rsid w:val="00BE2177"/>
    <w:pPr>
      <w:numPr>
        <w:ilvl w:val="1"/>
        <w:numId w:val="35"/>
      </w:numPr>
      <w:spacing w:after="180"/>
      <w:jc w:val="both"/>
    </w:pPr>
  </w:style>
  <w:style w:type="paragraph" w:customStyle="1" w:styleId="Definition3">
    <w:name w:val="Definition 3"/>
    <w:basedOn w:val="Normal"/>
    <w:uiPriority w:val="2"/>
    <w:qFormat/>
    <w:rsid w:val="00BE2177"/>
    <w:pPr>
      <w:numPr>
        <w:ilvl w:val="2"/>
        <w:numId w:val="35"/>
      </w:numPr>
      <w:spacing w:after="180"/>
      <w:jc w:val="both"/>
    </w:pPr>
  </w:style>
  <w:style w:type="paragraph" w:customStyle="1" w:styleId="Definition4">
    <w:name w:val="Definition 4"/>
    <w:basedOn w:val="Normal"/>
    <w:uiPriority w:val="2"/>
    <w:qFormat/>
    <w:rsid w:val="00BE2177"/>
    <w:pPr>
      <w:numPr>
        <w:ilvl w:val="3"/>
        <w:numId w:val="35"/>
      </w:numPr>
      <w:spacing w:after="180"/>
      <w:jc w:val="both"/>
    </w:pPr>
  </w:style>
  <w:style w:type="paragraph" w:customStyle="1" w:styleId="Definition5">
    <w:name w:val="Definition 5"/>
    <w:basedOn w:val="Normal"/>
    <w:uiPriority w:val="2"/>
    <w:qFormat/>
    <w:rsid w:val="00BE2177"/>
    <w:pPr>
      <w:numPr>
        <w:ilvl w:val="4"/>
        <w:numId w:val="35"/>
      </w:numPr>
      <w:spacing w:after="180"/>
      <w:jc w:val="both"/>
    </w:pPr>
  </w:style>
  <w:style w:type="paragraph" w:customStyle="1" w:styleId="Definition6">
    <w:name w:val="Definition 6"/>
    <w:basedOn w:val="Normal"/>
    <w:uiPriority w:val="2"/>
    <w:qFormat/>
    <w:rsid w:val="00BE2177"/>
    <w:pPr>
      <w:numPr>
        <w:ilvl w:val="5"/>
        <w:numId w:val="35"/>
      </w:numPr>
      <w:spacing w:after="180"/>
      <w:jc w:val="both"/>
    </w:pPr>
  </w:style>
  <w:style w:type="paragraph" w:customStyle="1" w:styleId="Parties">
    <w:name w:val="Parties"/>
    <w:basedOn w:val="Normal"/>
    <w:uiPriority w:val="2"/>
    <w:qFormat/>
    <w:rsid w:val="00BE2177"/>
    <w:pPr>
      <w:numPr>
        <w:ilvl w:val="7"/>
        <w:numId w:val="35"/>
      </w:numPr>
      <w:spacing w:after="180"/>
      <w:jc w:val="both"/>
    </w:pPr>
  </w:style>
  <w:style w:type="paragraph" w:customStyle="1" w:styleId="Recitals">
    <w:name w:val="Recitals"/>
    <w:basedOn w:val="Normal"/>
    <w:uiPriority w:val="2"/>
    <w:qFormat/>
    <w:rsid w:val="00BE2177"/>
    <w:pPr>
      <w:numPr>
        <w:ilvl w:val="8"/>
        <w:numId w:val="35"/>
      </w:numPr>
      <w:spacing w:after="180"/>
      <w:jc w:val="both"/>
    </w:pPr>
  </w:style>
  <w:style w:type="paragraph" w:customStyle="1" w:styleId="wCoverNotice">
    <w:name w:val="wCoverNotice"/>
    <w:basedOn w:val="Normal"/>
    <w:next w:val="Normal"/>
    <w:uiPriority w:val="19"/>
    <w:rsid w:val="00BE2177"/>
    <w:pPr>
      <w:spacing w:after="960"/>
      <w:ind w:left="720" w:right="720"/>
      <w:jc w:val="center"/>
    </w:pPr>
    <w:rPr>
      <w:rFonts w:eastAsia="Times New Roman"/>
      <w:szCs w:val="24"/>
    </w:rPr>
  </w:style>
  <w:style w:type="paragraph" w:customStyle="1" w:styleId="wCoverParties">
    <w:name w:val="wCoverParties"/>
    <w:basedOn w:val="Normal"/>
    <w:next w:val="wCoverRole"/>
    <w:uiPriority w:val="20"/>
    <w:qFormat/>
    <w:rsid w:val="00BE2177"/>
    <w:pPr>
      <w:jc w:val="center"/>
    </w:pPr>
    <w:rPr>
      <w:b/>
      <w:bCs/>
      <w:sz w:val="28"/>
      <w:szCs w:val="32"/>
    </w:rPr>
  </w:style>
  <w:style w:type="paragraph" w:customStyle="1" w:styleId="wSignRole">
    <w:name w:val="wSignRole"/>
    <w:basedOn w:val="Normal"/>
    <w:uiPriority w:val="12"/>
    <w:qFormat/>
    <w:rsid w:val="00BE2177"/>
    <w:pPr>
      <w:spacing w:before="600" w:after="60"/>
    </w:pPr>
    <w:rPr>
      <w:b/>
      <w:bCs/>
    </w:rPr>
  </w:style>
  <w:style w:type="paragraph" w:customStyle="1" w:styleId="wCoverCenter">
    <w:name w:val="wCoverCenter"/>
    <w:basedOn w:val="Normal"/>
    <w:next w:val="wCoverParties"/>
    <w:uiPriority w:val="19"/>
    <w:qFormat/>
    <w:rsid w:val="00BE2177"/>
    <w:pPr>
      <w:spacing w:after="480"/>
      <w:jc w:val="center"/>
    </w:pPr>
  </w:style>
  <w:style w:type="paragraph" w:customStyle="1" w:styleId="wCoverTitle2">
    <w:name w:val="wCoverTitle2"/>
    <w:basedOn w:val="Normal"/>
    <w:next w:val="wCoverCenter"/>
    <w:uiPriority w:val="19"/>
    <w:rsid w:val="00BE2177"/>
    <w:pPr>
      <w:spacing w:after="240"/>
      <w:jc w:val="center"/>
    </w:pPr>
    <w:rPr>
      <w:sz w:val="28"/>
      <w:szCs w:val="32"/>
    </w:rPr>
  </w:style>
  <w:style w:type="paragraph" w:customStyle="1" w:styleId="wLogoHeader">
    <w:name w:val="wLogoHeader"/>
    <w:basedOn w:val="Normal"/>
    <w:uiPriority w:val="48"/>
    <w:qFormat/>
    <w:rsid w:val="00BE2177"/>
    <w:pPr>
      <w:spacing w:before="360" w:after="960" w:line="360" w:lineRule="auto"/>
      <w:jc w:val="right"/>
    </w:pPr>
  </w:style>
  <w:style w:type="paragraph" w:customStyle="1" w:styleId="wCoverAddress">
    <w:name w:val="wCoverAddress"/>
    <w:basedOn w:val="Normal"/>
    <w:uiPriority w:val="22"/>
    <w:rsid w:val="00BE2177"/>
    <w:pPr>
      <w:jc w:val="center"/>
    </w:pPr>
    <w:rPr>
      <w:rFonts w:eastAsia="Times New Roman"/>
      <w:sz w:val="20"/>
      <w:szCs w:val="24"/>
    </w:rPr>
  </w:style>
  <w:style w:type="numbering" w:styleId="111111">
    <w:name w:val="Outline List 2"/>
    <w:basedOn w:val="NoList"/>
    <w:uiPriority w:val="99"/>
    <w:semiHidden/>
    <w:unhideWhenUsed/>
    <w:rsid w:val="00BE2177"/>
    <w:pPr>
      <w:numPr>
        <w:numId w:val="5"/>
      </w:numPr>
    </w:pPr>
  </w:style>
  <w:style w:type="numbering" w:styleId="1ai">
    <w:name w:val="Outline List 1"/>
    <w:basedOn w:val="NoList"/>
    <w:uiPriority w:val="99"/>
    <w:semiHidden/>
    <w:unhideWhenUsed/>
    <w:rsid w:val="00BE2177"/>
    <w:pPr>
      <w:numPr>
        <w:numId w:val="6"/>
      </w:numPr>
    </w:pPr>
  </w:style>
  <w:style w:type="paragraph" w:customStyle="1" w:styleId="wTOCtitle">
    <w:name w:val="wTOCtitle"/>
    <w:basedOn w:val="Normal"/>
    <w:next w:val="wTOCpage"/>
    <w:uiPriority w:val="13"/>
    <w:rsid w:val="00BE2177"/>
    <w:pPr>
      <w:jc w:val="center"/>
    </w:pPr>
    <w:rPr>
      <w:b/>
      <w:bCs/>
      <w:sz w:val="26"/>
      <w:szCs w:val="30"/>
    </w:rPr>
  </w:style>
  <w:style w:type="paragraph" w:customStyle="1" w:styleId="wTOCpage">
    <w:name w:val="wTOCpage"/>
    <w:basedOn w:val="Normal"/>
    <w:next w:val="Normal"/>
    <w:uiPriority w:val="15"/>
    <w:rsid w:val="00BE2177"/>
    <w:pPr>
      <w:spacing w:after="180"/>
      <w:jc w:val="right"/>
    </w:pPr>
    <w:rPr>
      <w:rFonts w:eastAsia="Times New Roman"/>
      <w:b/>
      <w:szCs w:val="21"/>
    </w:rPr>
  </w:style>
  <w:style w:type="paragraph" w:customStyle="1" w:styleId="wSignLine">
    <w:name w:val="wSignLine"/>
    <w:basedOn w:val="wText"/>
    <w:next w:val="Normal"/>
    <w:uiPriority w:val="13"/>
    <w:rsid w:val="00BE2177"/>
    <w:pPr>
      <w:tabs>
        <w:tab w:val="left" w:leader="dot" w:pos="3600"/>
      </w:tabs>
      <w:spacing w:before="800" w:after="0"/>
    </w:pPr>
    <w:rPr>
      <w:rFonts w:eastAsia="Times New Roman"/>
      <w:szCs w:val="20"/>
    </w:rPr>
  </w:style>
  <w:style w:type="paragraph" w:styleId="TOC3">
    <w:name w:val="toc 3"/>
    <w:basedOn w:val="Normal"/>
    <w:next w:val="Normal"/>
    <w:autoRedefine/>
    <w:uiPriority w:val="39"/>
    <w:rsid w:val="00BE2177"/>
    <w:pPr>
      <w:tabs>
        <w:tab w:val="left" w:pos="1440"/>
        <w:tab w:val="right" w:leader="dot" w:pos="9072"/>
      </w:tabs>
      <w:ind w:left="1440" w:right="386" w:hanging="720"/>
    </w:pPr>
    <w:rPr>
      <w:noProof/>
      <w:color w:val="000000" w:themeColor="text1"/>
    </w:rPr>
  </w:style>
  <w:style w:type="paragraph" w:styleId="TOC4">
    <w:name w:val="toc 4"/>
    <w:basedOn w:val="Normal"/>
    <w:next w:val="Normal"/>
    <w:autoRedefine/>
    <w:uiPriority w:val="39"/>
    <w:unhideWhenUsed/>
    <w:rsid w:val="00BE2177"/>
    <w:pPr>
      <w:tabs>
        <w:tab w:val="left" w:pos="1440"/>
        <w:tab w:val="right" w:leader="dot" w:pos="9080"/>
      </w:tabs>
      <w:ind w:left="1440" w:right="386" w:hanging="720"/>
    </w:pPr>
  </w:style>
  <w:style w:type="paragraph" w:styleId="TOC5">
    <w:name w:val="toc 5"/>
    <w:basedOn w:val="Normal"/>
    <w:next w:val="Normal"/>
    <w:autoRedefine/>
    <w:uiPriority w:val="39"/>
    <w:semiHidden/>
    <w:unhideWhenUsed/>
    <w:rsid w:val="00BE2177"/>
    <w:pPr>
      <w:spacing w:after="100"/>
      <w:ind w:left="960"/>
    </w:pPr>
  </w:style>
  <w:style w:type="paragraph" w:styleId="TOC6">
    <w:name w:val="toc 6"/>
    <w:basedOn w:val="Normal"/>
    <w:next w:val="Normal"/>
    <w:autoRedefine/>
    <w:uiPriority w:val="39"/>
    <w:semiHidden/>
    <w:unhideWhenUsed/>
    <w:rsid w:val="00BE2177"/>
    <w:pPr>
      <w:spacing w:after="100"/>
      <w:ind w:left="1200"/>
    </w:pPr>
  </w:style>
  <w:style w:type="paragraph" w:styleId="TOC7">
    <w:name w:val="toc 7"/>
    <w:basedOn w:val="Normal"/>
    <w:next w:val="Normal"/>
    <w:autoRedefine/>
    <w:uiPriority w:val="39"/>
    <w:semiHidden/>
    <w:unhideWhenUsed/>
    <w:rsid w:val="00BE2177"/>
    <w:pPr>
      <w:spacing w:after="100"/>
      <w:ind w:left="1440"/>
    </w:pPr>
  </w:style>
  <w:style w:type="paragraph" w:styleId="TOC8">
    <w:name w:val="toc 8"/>
    <w:basedOn w:val="Normal"/>
    <w:next w:val="Normal"/>
    <w:autoRedefine/>
    <w:uiPriority w:val="39"/>
    <w:rsid w:val="00BE2177"/>
    <w:pPr>
      <w:tabs>
        <w:tab w:val="left" w:pos="1423"/>
        <w:tab w:val="right" w:leader="dot" w:pos="9072"/>
      </w:tabs>
      <w:spacing w:before="120"/>
      <w:ind w:left="1440" w:right="386" w:hanging="1440"/>
    </w:pPr>
    <w:rPr>
      <w:b/>
      <w:bCs/>
    </w:rPr>
  </w:style>
  <w:style w:type="paragraph" w:styleId="TOC9">
    <w:name w:val="toc 9"/>
    <w:basedOn w:val="Normal"/>
    <w:next w:val="Normal"/>
    <w:autoRedefine/>
    <w:uiPriority w:val="39"/>
    <w:rsid w:val="00BE2177"/>
    <w:pPr>
      <w:tabs>
        <w:tab w:val="left" w:pos="1440"/>
        <w:tab w:val="right" w:leader="dot" w:pos="9072"/>
      </w:tabs>
      <w:ind w:left="1440" w:right="386" w:hanging="1440"/>
    </w:pPr>
  </w:style>
  <w:style w:type="paragraph" w:customStyle="1" w:styleId="wCoverRole">
    <w:name w:val="wCoverRole"/>
    <w:basedOn w:val="Normal"/>
    <w:next w:val="wCoverParties"/>
    <w:uiPriority w:val="21"/>
    <w:qFormat/>
    <w:rsid w:val="00BE2177"/>
    <w:pPr>
      <w:spacing w:after="480"/>
      <w:jc w:val="center"/>
    </w:pPr>
  </w:style>
  <w:style w:type="paragraph" w:customStyle="1" w:styleId="wBullet4">
    <w:name w:val="wBullet4"/>
    <w:basedOn w:val="Normal"/>
    <w:uiPriority w:val="8"/>
    <w:qFormat/>
    <w:rsid w:val="0079374D"/>
    <w:pPr>
      <w:numPr>
        <w:numId w:val="40"/>
      </w:numPr>
      <w:spacing w:after="180"/>
      <w:ind w:left="3600" w:hanging="720"/>
      <w:jc w:val="both"/>
    </w:pPr>
  </w:style>
  <w:style w:type="paragraph" w:customStyle="1" w:styleId="wText4">
    <w:name w:val="wText4"/>
    <w:basedOn w:val="Normal"/>
    <w:uiPriority w:val="1"/>
    <w:qFormat/>
    <w:rsid w:val="00BE2177"/>
    <w:pPr>
      <w:spacing w:after="180"/>
      <w:ind w:left="2880"/>
      <w:jc w:val="both"/>
    </w:pPr>
  </w:style>
  <w:style w:type="character" w:styleId="FootnoteReference">
    <w:name w:val="footnote reference"/>
    <w:basedOn w:val="DefaultParagraphFont"/>
    <w:uiPriority w:val="99"/>
    <w:semiHidden/>
    <w:unhideWhenUsed/>
    <w:rsid w:val="00BE2177"/>
    <w:rPr>
      <w:vertAlign w:val="superscript"/>
    </w:rPr>
  </w:style>
  <w:style w:type="paragraph" w:styleId="FootnoteText">
    <w:name w:val="footnote text"/>
    <w:basedOn w:val="Normal"/>
    <w:link w:val="FootnoteTextChar"/>
    <w:uiPriority w:val="99"/>
    <w:unhideWhenUsed/>
    <w:rsid w:val="00BE2177"/>
    <w:pPr>
      <w:spacing w:after="60"/>
      <w:ind w:left="357" w:hanging="357"/>
      <w:jc w:val="both"/>
    </w:pPr>
    <w:rPr>
      <w:sz w:val="18"/>
      <w:szCs w:val="20"/>
    </w:rPr>
  </w:style>
  <w:style w:type="character" w:customStyle="1" w:styleId="FootnoteTextChar">
    <w:name w:val="Footnote Text Char"/>
    <w:basedOn w:val="DefaultParagraphFont"/>
    <w:link w:val="FootnoteText"/>
    <w:uiPriority w:val="99"/>
    <w:rsid w:val="00BE2177"/>
    <w:rPr>
      <w:rFonts w:ascii="Times New Roman" w:eastAsia="MS Mincho" w:hAnsi="Times New Roman" w:cs="Times New Roman"/>
      <w:sz w:val="18"/>
      <w:szCs w:val="20"/>
    </w:rPr>
  </w:style>
  <w:style w:type="paragraph" w:customStyle="1" w:styleId="SignLine">
    <w:name w:val="SignLine"/>
    <w:basedOn w:val="Normal"/>
    <w:next w:val="Normal"/>
    <w:rsid w:val="00E03967"/>
    <w:pPr>
      <w:tabs>
        <w:tab w:val="left" w:leader="dot" w:pos="3600"/>
      </w:tabs>
      <w:spacing w:before="800"/>
      <w:jc w:val="both"/>
    </w:pPr>
    <w:rPr>
      <w:rFonts w:eastAsia="Times New Roman"/>
      <w:szCs w:val="20"/>
    </w:rPr>
  </w:style>
  <w:style w:type="table" w:styleId="TableGrid">
    <w:name w:val="Table Grid"/>
    <w:basedOn w:val="TableNormal"/>
    <w:uiPriority w:val="59"/>
    <w:rsid w:val="00BE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177"/>
    <w:rPr>
      <w:color w:val="0000FF" w:themeColor="hyperlink"/>
      <w:u w:val="single"/>
    </w:rPr>
  </w:style>
  <w:style w:type="paragraph" w:customStyle="1" w:styleId="wSignTitle">
    <w:name w:val="wSignTitle"/>
    <w:basedOn w:val="Normal"/>
    <w:next w:val="wText"/>
    <w:uiPriority w:val="11"/>
    <w:qFormat/>
    <w:rsid w:val="00BE2177"/>
    <w:pPr>
      <w:keepNext/>
      <w:keepLines/>
      <w:pageBreakBefore/>
      <w:jc w:val="both"/>
    </w:pPr>
    <w:rPr>
      <w:rFonts w:eastAsia="Times New Roman"/>
      <w:b/>
      <w:sz w:val="26"/>
      <w:szCs w:val="24"/>
    </w:rPr>
  </w:style>
  <w:style w:type="character" w:customStyle="1" w:styleId="wTextChar">
    <w:name w:val="wText Char"/>
    <w:basedOn w:val="DefaultParagraphFont"/>
    <w:link w:val="wText"/>
    <w:uiPriority w:val="1"/>
    <w:rsid w:val="00BE2177"/>
    <w:rPr>
      <w:rFonts w:ascii="Times New Roman" w:eastAsia="MS Mincho" w:hAnsi="Times New Roman" w:cs="Times New Roman"/>
    </w:rPr>
  </w:style>
  <w:style w:type="paragraph" w:customStyle="1" w:styleId="wAnnotation">
    <w:name w:val="wAnnotation"/>
    <w:basedOn w:val="Normal"/>
    <w:next w:val="wText"/>
    <w:uiPriority w:val="10"/>
    <w:rsid w:val="00BE2177"/>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Normal"/>
    <w:next w:val="wCoverTitle2"/>
    <w:uiPriority w:val="19"/>
    <w:qFormat/>
    <w:rsid w:val="00BE2177"/>
    <w:pPr>
      <w:spacing w:after="120"/>
      <w:jc w:val="center"/>
    </w:pPr>
    <w:rPr>
      <w:b/>
      <w:bCs/>
      <w:sz w:val="40"/>
      <w:szCs w:val="44"/>
    </w:rPr>
  </w:style>
  <w:style w:type="paragraph" w:customStyle="1" w:styleId="wCoverDate">
    <w:name w:val="wCoverDate"/>
    <w:basedOn w:val="Normal"/>
    <w:next w:val="wCoverTitle1"/>
    <w:uiPriority w:val="19"/>
    <w:qFormat/>
    <w:rsid w:val="00BE2177"/>
    <w:pPr>
      <w:spacing w:before="480" w:after="960"/>
      <w:jc w:val="center"/>
    </w:pPr>
    <w:rPr>
      <w:b/>
      <w:bCs/>
    </w:rPr>
  </w:style>
  <w:style w:type="paragraph" w:customStyle="1" w:styleId="wSignName">
    <w:name w:val="wSignName"/>
    <w:basedOn w:val="Normal"/>
    <w:next w:val="wSignNameLine"/>
    <w:uiPriority w:val="11"/>
    <w:qFormat/>
    <w:rsid w:val="00BE2177"/>
    <w:pPr>
      <w:spacing w:before="600" w:after="60"/>
    </w:pPr>
  </w:style>
  <w:style w:type="paragraph" w:customStyle="1" w:styleId="wSignNameLine">
    <w:name w:val="wSignNameLine"/>
    <w:basedOn w:val="Normal"/>
    <w:next w:val="Normal"/>
    <w:uiPriority w:val="11"/>
    <w:qFormat/>
    <w:rsid w:val="00BE2177"/>
    <w:pPr>
      <w:tabs>
        <w:tab w:val="right" w:leader="underscore" w:pos="4253"/>
      </w:tabs>
      <w:spacing w:before="600"/>
    </w:pPr>
  </w:style>
  <w:style w:type="paragraph" w:customStyle="1" w:styleId="wExecution">
    <w:name w:val="wExecution"/>
    <w:basedOn w:val="Normal"/>
    <w:uiPriority w:val="13"/>
    <w:qFormat/>
    <w:rsid w:val="00BE2177"/>
    <w:pPr>
      <w:tabs>
        <w:tab w:val="left" w:pos="567"/>
      </w:tabs>
      <w:ind w:left="56"/>
    </w:pPr>
  </w:style>
  <w:style w:type="paragraph" w:customStyle="1" w:styleId="Definition7">
    <w:name w:val="Definition 7"/>
    <w:basedOn w:val="Normal"/>
    <w:uiPriority w:val="2"/>
    <w:qFormat/>
    <w:rsid w:val="00BE2177"/>
    <w:pPr>
      <w:numPr>
        <w:ilvl w:val="6"/>
        <w:numId w:val="35"/>
      </w:numPr>
      <w:spacing w:after="180"/>
      <w:jc w:val="both"/>
    </w:pPr>
  </w:style>
  <w:style w:type="paragraph" w:customStyle="1" w:styleId="wList1">
    <w:name w:val="wList1"/>
    <w:basedOn w:val="Normal"/>
    <w:uiPriority w:val="7"/>
    <w:qFormat/>
    <w:rsid w:val="00BE2177"/>
    <w:pPr>
      <w:numPr>
        <w:numId w:val="47"/>
      </w:numPr>
      <w:spacing w:after="180"/>
      <w:jc w:val="both"/>
    </w:pPr>
  </w:style>
  <w:style w:type="paragraph" w:customStyle="1" w:styleId="wList2">
    <w:name w:val="wList2"/>
    <w:basedOn w:val="Normal"/>
    <w:uiPriority w:val="7"/>
    <w:qFormat/>
    <w:rsid w:val="00BE2177"/>
    <w:pPr>
      <w:numPr>
        <w:ilvl w:val="1"/>
        <w:numId w:val="47"/>
      </w:numPr>
      <w:spacing w:after="180"/>
      <w:jc w:val="both"/>
    </w:pPr>
  </w:style>
  <w:style w:type="paragraph" w:customStyle="1" w:styleId="wList3">
    <w:name w:val="wList3"/>
    <w:basedOn w:val="Normal"/>
    <w:uiPriority w:val="7"/>
    <w:qFormat/>
    <w:rsid w:val="00BE2177"/>
    <w:pPr>
      <w:numPr>
        <w:ilvl w:val="2"/>
        <w:numId w:val="47"/>
      </w:numPr>
      <w:spacing w:after="180"/>
      <w:jc w:val="both"/>
    </w:pPr>
  </w:style>
  <w:style w:type="paragraph" w:customStyle="1" w:styleId="wList4">
    <w:name w:val="wList4"/>
    <w:basedOn w:val="Normal"/>
    <w:uiPriority w:val="7"/>
    <w:qFormat/>
    <w:rsid w:val="00BE2177"/>
    <w:pPr>
      <w:numPr>
        <w:ilvl w:val="3"/>
        <w:numId w:val="47"/>
      </w:numPr>
      <w:spacing w:after="180"/>
      <w:jc w:val="both"/>
    </w:pPr>
  </w:style>
  <w:style w:type="paragraph" w:customStyle="1" w:styleId="wList5">
    <w:name w:val="wList5"/>
    <w:basedOn w:val="Normal"/>
    <w:uiPriority w:val="7"/>
    <w:qFormat/>
    <w:rsid w:val="00BE2177"/>
    <w:pPr>
      <w:numPr>
        <w:ilvl w:val="4"/>
        <w:numId w:val="47"/>
      </w:numPr>
      <w:spacing w:after="180"/>
      <w:jc w:val="both"/>
    </w:pPr>
  </w:style>
  <w:style w:type="paragraph" w:customStyle="1" w:styleId="wList6">
    <w:name w:val="wList6"/>
    <w:basedOn w:val="Normal"/>
    <w:uiPriority w:val="7"/>
    <w:qFormat/>
    <w:rsid w:val="00BE2177"/>
    <w:pPr>
      <w:numPr>
        <w:ilvl w:val="5"/>
        <w:numId w:val="47"/>
      </w:numPr>
      <w:spacing w:after="180"/>
      <w:jc w:val="both"/>
    </w:pPr>
  </w:style>
  <w:style w:type="paragraph" w:customStyle="1" w:styleId="wList7">
    <w:name w:val="wList7"/>
    <w:basedOn w:val="Normal"/>
    <w:uiPriority w:val="7"/>
    <w:qFormat/>
    <w:rsid w:val="00BE2177"/>
    <w:pPr>
      <w:numPr>
        <w:ilvl w:val="6"/>
        <w:numId w:val="47"/>
      </w:numPr>
      <w:spacing w:after="180"/>
      <w:jc w:val="both"/>
    </w:pPr>
  </w:style>
  <w:style w:type="paragraph" w:customStyle="1" w:styleId="wNoTOC">
    <w:name w:val="wNoTOC"/>
    <w:basedOn w:val="Normal"/>
    <w:next w:val="wText1"/>
    <w:uiPriority w:val="18"/>
    <w:qFormat/>
    <w:rsid w:val="00CF5469"/>
    <w:pPr>
      <w:spacing w:after="180"/>
      <w:jc w:val="both"/>
    </w:pPr>
    <w:rPr>
      <w:rFonts w:eastAsiaTheme="minorHAnsi" w:cstheme="minorBidi"/>
    </w:rPr>
  </w:style>
  <w:style w:type="paragraph" w:customStyle="1" w:styleId="FooterSupressDocId">
    <w:name w:val="FooterSupressDocId"/>
    <w:basedOn w:val="Footer"/>
    <w:link w:val="FooterSupressDocIdChar"/>
    <w:rsid w:val="00C048A6"/>
  </w:style>
  <w:style w:type="character" w:customStyle="1" w:styleId="FooterSupressDocIdChar">
    <w:name w:val="FooterSupressDocId Char"/>
    <w:basedOn w:val="FooterChar"/>
    <w:link w:val="FooterSupressDocId"/>
    <w:rsid w:val="00C048A6"/>
    <w:rPr>
      <w:rFonts w:ascii="Times New Roman" w:eastAsia="Times New Roman" w:hAnsi="Times New Roman" w:cs="Times New Roman"/>
      <w:sz w:val="16"/>
      <w:szCs w:val="20"/>
      <w:lang w:eastAsia="de-DE"/>
    </w:rPr>
  </w:style>
  <w:style w:type="character" w:styleId="CommentReference">
    <w:name w:val="annotation reference"/>
    <w:basedOn w:val="DefaultParagraphFont"/>
    <w:uiPriority w:val="99"/>
    <w:semiHidden/>
    <w:unhideWhenUsed/>
    <w:rsid w:val="00722CDE"/>
    <w:rPr>
      <w:sz w:val="16"/>
      <w:szCs w:val="16"/>
    </w:rPr>
  </w:style>
  <w:style w:type="paragraph" w:styleId="CommentText">
    <w:name w:val="annotation text"/>
    <w:basedOn w:val="Normal"/>
    <w:link w:val="CommentTextChar"/>
    <w:uiPriority w:val="99"/>
    <w:unhideWhenUsed/>
    <w:rsid w:val="00722CDE"/>
    <w:rPr>
      <w:sz w:val="20"/>
      <w:szCs w:val="20"/>
    </w:rPr>
  </w:style>
  <w:style w:type="character" w:customStyle="1" w:styleId="CommentTextChar">
    <w:name w:val="Comment Text Char"/>
    <w:basedOn w:val="DefaultParagraphFont"/>
    <w:link w:val="CommentText"/>
    <w:uiPriority w:val="99"/>
    <w:rsid w:val="00722CDE"/>
    <w:rPr>
      <w:rFonts w:ascii="Times New Roman" w:eastAsia="MS Mincho" w:hAnsi="Times New Roman" w:cs="Times New Roman"/>
      <w:sz w:val="20"/>
      <w:szCs w:val="20"/>
    </w:rPr>
  </w:style>
  <w:style w:type="character" w:styleId="UnresolvedMention">
    <w:name w:val="Unresolved Mention"/>
    <w:basedOn w:val="DefaultParagraphFont"/>
    <w:uiPriority w:val="99"/>
    <w:semiHidden/>
    <w:unhideWhenUsed/>
    <w:rsid w:val="009B6DF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324AD"/>
    <w:rPr>
      <w:b/>
      <w:bCs/>
    </w:rPr>
  </w:style>
  <w:style w:type="character" w:customStyle="1" w:styleId="CommentSubjectChar">
    <w:name w:val="Comment Subject Char"/>
    <w:basedOn w:val="CommentTextChar"/>
    <w:link w:val="CommentSubject"/>
    <w:uiPriority w:val="99"/>
    <w:semiHidden/>
    <w:rsid w:val="002324AD"/>
    <w:rPr>
      <w:rFonts w:ascii="Times New Roman" w:eastAsia="MS Mincho" w:hAnsi="Times New Roman" w:cs="Times New Roman"/>
      <w:b/>
      <w:bCs/>
      <w:sz w:val="20"/>
      <w:szCs w:val="20"/>
    </w:rPr>
  </w:style>
  <w:style w:type="paragraph" w:styleId="Revision">
    <w:name w:val="Revision"/>
    <w:hidden/>
    <w:uiPriority w:val="99"/>
    <w:semiHidden/>
    <w:rsid w:val="00B673D0"/>
    <w:pPr>
      <w:spacing w:after="0" w:line="240" w:lineRule="auto"/>
    </w:pPr>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19879">
      <w:bodyDiv w:val="1"/>
      <w:marLeft w:val="0"/>
      <w:marRight w:val="0"/>
      <w:marTop w:val="0"/>
      <w:marBottom w:val="0"/>
      <w:divBdr>
        <w:top w:val="none" w:sz="0" w:space="0" w:color="auto"/>
        <w:left w:val="none" w:sz="0" w:space="0" w:color="auto"/>
        <w:bottom w:val="none" w:sz="0" w:space="0" w:color="auto"/>
        <w:right w:val="none" w:sz="0" w:space="0" w:color="auto"/>
      </w:divBdr>
    </w:div>
    <w:div w:id="560016307">
      <w:bodyDiv w:val="1"/>
      <w:marLeft w:val="0"/>
      <w:marRight w:val="0"/>
      <w:marTop w:val="0"/>
      <w:marBottom w:val="0"/>
      <w:divBdr>
        <w:top w:val="none" w:sz="0" w:space="0" w:color="auto"/>
        <w:left w:val="none" w:sz="0" w:space="0" w:color="auto"/>
        <w:bottom w:val="none" w:sz="0" w:space="0" w:color="auto"/>
        <w:right w:val="none" w:sz="0" w:space="0" w:color="auto"/>
      </w:divBdr>
    </w:div>
    <w:div w:id="898634103">
      <w:bodyDiv w:val="1"/>
      <w:marLeft w:val="0"/>
      <w:marRight w:val="0"/>
      <w:marTop w:val="0"/>
      <w:marBottom w:val="0"/>
      <w:divBdr>
        <w:top w:val="none" w:sz="0" w:space="0" w:color="auto"/>
        <w:left w:val="none" w:sz="0" w:space="0" w:color="auto"/>
        <w:bottom w:val="none" w:sz="0" w:space="0" w:color="auto"/>
        <w:right w:val="none" w:sz="0" w:space="0" w:color="auto"/>
      </w:divBdr>
    </w:div>
    <w:div w:id="944919331">
      <w:bodyDiv w:val="1"/>
      <w:marLeft w:val="0"/>
      <w:marRight w:val="0"/>
      <w:marTop w:val="0"/>
      <w:marBottom w:val="0"/>
      <w:divBdr>
        <w:top w:val="none" w:sz="0" w:space="0" w:color="auto"/>
        <w:left w:val="none" w:sz="0" w:space="0" w:color="auto"/>
        <w:bottom w:val="none" w:sz="0" w:space="0" w:color="auto"/>
        <w:right w:val="none" w:sz="0" w:space="0" w:color="auto"/>
      </w:divBdr>
    </w:div>
    <w:div w:id="1140000286">
      <w:bodyDiv w:val="1"/>
      <w:marLeft w:val="0"/>
      <w:marRight w:val="0"/>
      <w:marTop w:val="0"/>
      <w:marBottom w:val="0"/>
      <w:divBdr>
        <w:top w:val="none" w:sz="0" w:space="0" w:color="auto"/>
        <w:left w:val="none" w:sz="0" w:space="0" w:color="auto"/>
        <w:bottom w:val="none" w:sz="0" w:space="0" w:color="auto"/>
        <w:right w:val="none" w:sz="0" w:space="0" w:color="auto"/>
      </w:divBdr>
    </w:div>
    <w:div w:id="1716076319">
      <w:bodyDiv w:val="1"/>
      <w:marLeft w:val="0"/>
      <w:marRight w:val="0"/>
      <w:marTop w:val="0"/>
      <w:marBottom w:val="0"/>
      <w:divBdr>
        <w:top w:val="none" w:sz="0" w:space="0" w:color="auto"/>
        <w:left w:val="none" w:sz="0" w:space="0" w:color="auto"/>
        <w:bottom w:val="none" w:sz="0" w:space="0" w:color="auto"/>
        <w:right w:val="none" w:sz="0" w:space="0" w:color="auto"/>
      </w:divBdr>
    </w:div>
    <w:div w:id="1733190852">
      <w:bodyDiv w:val="1"/>
      <w:marLeft w:val="0"/>
      <w:marRight w:val="0"/>
      <w:marTop w:val="0"/>
      <w:marBottom w:val="0"/>
      <w:divBdr>
        <w:top w:val="none" w:sz="0" w:space="0" w:color="auto"/>
        <w:left w:val="none" w:sz="0" w:space="0" w:color="auto"/>
        <w:bottom w:val="none" w:sz="0" w:space="0" w:color="auto"/>
        <w:right w:val="none" w:sz="0" w:space="0" w:color="auto"/>
      </w:divBdr>
    </w:div>
    <w:div w:id="1785464987">
      <w:bodyDiv w:val="1"/>
      <w:marLeft w:val="0"/>
      <w:marRight w:val="0"/>
      <w:marTop w:val="0"/>
      <w:marBottom w:val="0"/>
      <w:divBdr>
        <w:top w:val="none" w:sz="0" w:space="0" w:color="auto"/>
        <w:left w:val="none" w:sz="0" w:space="0" w:color="auto"/>
        <w:bottom w:val="none" w:sz="0" w:space="0" w:color="auto"/>
        <w:right w:val="none" w:sz="0" w:space="0" w:color="auto"/>
      </w:divBdr>
    </w:div>
    <w:div w:id="1973173251">
      <w:bodyDiv w:val="1"/>
      <w:marLeft w:val="0"/>
      <w:marRight w:val="0"/>
      <w:marTop w:val="0"/>
      <w:marBottom w:val="0"/>
      <w:divBdr>
        <w:top w:val="none" w:sz="0" w:space="0" w:color="auto"/>
        <w:left w:val="none" w:sz="0" w:space="0" w:color="auto"/>
        <w:bottom w:val="none" w:sz="0" w:space="0" w:color="auto"/>
        <w:right w:val="none" w:sz="0" w:space="0" w:color="auto"/>
      </w:divBdr>
    </w:div>
    <w:div w:id="1988364639">
      <w:bodyDiv w:val="1"/>
      <w:marLeft w:val="0"/>
      <w:marRight w:val="0"/>
      <w:marTop w:val="0"/>
      <w:marBottom w:val="0"/>
      <w:divBdr>
        <w:top w:val="none" w:sz="0" w:space="0" w:color="auto"/>
        <w:left w:val="none" w:sz="0" w:space="0" w:color="auto"/>
        <w:bottom w:val="none" w:sz="0" w:space="0" w:color="auto"/>
        <w:right w:val="none" w:sz="0" w:space="0" w:color="auto"/>
      </w:divBdr>
    </w:div>
    <w:div w:id="212022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hiteCase\Word\w00.11.HouseStyle.docx" TargetMode="External"/></Relationships>
</file>

<file path=word/theme/theme1.xml><?xml version="1.0" encoding="utf-8"?>
<a:theme xmlns:a="http://schemas.openxmlformats.org/drawingml/2006/main" name="Default Theme">
  <a:themeElements>
    <a:clrScheme name="White Rebrand Colors">
      <a:dk1>
        <a:srgbClr val="000000"/>
      </a:dk1>
      <a:lt1>
        <a:sysClr val="window" lastClr="FFFFFF"/>
      </a:lt1>
      <a:dk2>
        <a:srgbClr val="000000"/>
      </a:dk2>
      <a:lt2>
        <a:srgbClr val="FFFFFF"/>
      </a:lt2>
      <a:accent1>
        <a:srgbClr val="00A5D9"/>
      </a:accent1>
      <a:accent2>
        <a:srgbClr val="DCDDDE"/>
      </a:accent2>
      <a:accent3>
        <a:srgbClr val="46C0E5"/>
      </a:accent3>
      <a:accent4>
        <a:srgbClr val="AFB1B4"/>
      </a:accent4>
      <a:accent5>
        <a:srgbClr val="C5E7F7"/>
      </a:accent5>
      <a:accent6>
        <a:srgbClr val="808285"/>
      </a:accent6>
      <a:hlink>
        <a:srgbClr val="0000FF"/>
      </a:hlink>
      <a:folHlink>
        <a:srgbClr val="800080"/>
      </a:folHlink>
    </a:clrScheme>
    <a:fontScheme name="W&amp;C Standard">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headEnd type="none" w="med" len="med"/>
          <a:tailEnd type="none" w="med" len="med"/>
        </a:ln>
      </a:spPr>
      <a:bodyPr rot="0" spcFirstLastPara="0" vertOverflow="overflow" horzOverflow="overflow" vert="horz" wrap="square" lIns="0" tIns="45720" rIns="0" bIns="45720" numCol="1" spcCol="0" rtlCol="0" fromWordArt="0" anchor="ctr" anchorCtr="1" forceAA="0" compatLnSpc="1">
        <a:prstTxWarp prst="textNoShape">
          <a:avLst/>
        </a:prstTxWarp>
        <a:noAutofit/>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sz="1200" b="0" i="0" u="none" strike="noStrike" cap="none" normalizeH="0" baseline="0" dirty="0" smtClean="0">
            <a:ln>
              <a:noFill/>
            </a:ln>
            <a:solidFill>
              <a:schemeClr val="tx1"/>
            </a:solidFill>
            <a:effectLst/>
            <a:latin typeface="Arial" charset="0"/>
            <a:ea typeface="Arial" charset="0"/>
            <a:cs typeface="Arial" charset="0"/>
          </a:defRPr>
        </a:defPPr>
      </a:lstStyle>
      <a:style>
        <a:lnRef idx="2">
          <a:schemeClr val="accent1"/>
        </a:lnRef>
        <a:fillRef idx="1">
          <a:schemeClr val="lt1"/>
        </a:fillRef>
        <a:effectRef idx="0">
          <a:schemeClr val="accent1"/>
        </a:effectRef>
        <a:fontRef idx="minor">
          <a:schemeClr val="dk1"/>
        </a:fontRef>
      </a:style>
    </a:spDef>
    <a:lnDef>
      <a:spPr bwMode="auto">
        <a:solidFill>
          <a:srgbClr val="3656AB"/>
        </a:solidFill>
        <a:ln w="12700" cap="flat" cmpd="sng" algn="ctr">
          <a:solidFill>
            <a:schemeClr val="tx1"/>
          </a:solidFill>
          <a:prstDash val="solid"/>
          <a:round/>
          <a:headEnd type="none" w="med" len="med"/>
          <a:tailEnd type="arrow"/>
        </a:ln>
        <a:effectLst/>
      </a:spPr>
      <a:body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F0BB2-D60E-429C-AABB-80ECAE90A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w00.11.HouseStyle.docx</Template>
  <TotalTime>45</TotalTime>
  <Pages>4</Pages>
  <Words>1634</Words>
  <Characters>8661</Characters>
  <Application>Microsoft Office Word</Application>
  <DocSecurity>0</DocSecurity>
  <Lines>72</Lines>
  <Paragraphs>20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W&amp;C Standard Template</vt:lpstr>
      <vt:lpstr>W&amp;C Standard Template</vt:lpstr>
    </vt:vector>
  </TitlesOfParts>
  <Company>White &amp; Case LLP</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W&amp;C Standard Template</dc:title>
  <dc:creator>von Schmalensee, Max</dc:creator>
  <cp:lastModifiedBy>Hedstrom, Carl</cp:lastModifiedBy>
  <cp:revision>41</cp:revision>
  <cp:lastPrinted>2025-09-01T12:18:00Z</cp:lastPrinted>
  <dcterms:created xsi:type="dcterms:W3CDTF">2025-09-07T12:11:00Z</dcterms:created>
  <dcterms:modified xsi:type="dcterms:W3CDTF">2025-09-08T10:45:00Z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FooterVersion">
    <vt:i4>1</vt:i4>
  </property>
  <property fmtid="{D5CDD505-2E9C-101B-9397-08002B2CF9AE}" pid="3" name="DocID">
    <vt:i4>23</vt:i4>
  </property>
  <property fmtid="{D5CDD505-2E9C-101B-9397-08002B2CF9AE}" pid="4" name="NewIn2000">
    <vt:bool>true</vt:bool>
  </property>
  <property fmtid="{D5CDD505-2E9C-101B-9397-08002B2CF9AE}" pid="5" name="WCOffice">
    <vt:lpwstr>Stockholm</vt:lpwstr>
  </property>
  <property fmtid="{D5CDD505-2E9C-101B-9397-08002B2CF9AE}" pid="6" name="Language1">
    <vt:lpwstr>English (US)</vt:lpwstr>
  </property>
  <property fmtid="{D5CDD505-2E9C-101B-9397-08002B2CF9AE}" pid="7" name="Office">
    <vt:lpwstr>New York</vt:lpwstr>
  </property>
  <property fmtid="{D5CDD505-2E9C-101B-9397-08002B2CF9AE}" pid="8" name="DateFormat">
    <vt:lpwstr>MONTH DAY, YEAR</vt:lpwstr>
  </property>
  <property fmtid="{D5CDD505-2E9C-101B-9397-08002B2CF9AE}" pid="9" name="NRT_DocNumber">
    <vt:lpwstr/>
  </property>
  <property fmtid="{D5CDD505-2E9C-101B-9397-08002B2CF9AE}" pid="10" name="NRT_DocVersion">
    <vt:lpwstr/>
  </property>
  <property fmtid="{D5CDD505-2E9C-101B-9397-08002B2CF9AE}" pid="11" name="NRT_DocName">
    <vt:lpwstr/>
  </property>
  <property fmtid="{D5CDD505-2E9C-101B-9397-08002B2CF9AE}" pid="12" name="NRT_AuthorDescription">
    <vt:lpwstr/>
  </property>
  <property fmtid="{D5CDD505-2E9C-101B-9397-08002B2CF9AE}" pid="13" name="NRT_Author">
    <vt:lpwstr/>
  </property>
  <property fmtid="{D5CDD505-2E9C-101B-9397-08002B2CF9AE}" pid="14" name="NRT_Operator">
    <vt:lpwstr/>
  </property>
  <property fmtid="{D5CDD505-2E9C-101B-9397-08002B2CF9AE}" pid="15" name="NRT_Database">
    <vt:lpwstr/>
  </property>
  <property fmtid="{D5CDD505-2E9C-101B-9397-08002B2CF9AE}" pid="16" name="NRT_ELITE_CLIENT">
    <vt:lpwstr/>
  </property>
  <property fmtid="{D5CDD505-2E9C-101B-9397-08002B2CF9AE}" pid="17" name="NRT_ELITE_MATTER">
    <vt:lpwstr/>
  </property>
  <property fmtid="{D5CDD505-2E9C-101B-9397-08002B2CF9AE}" pid="18" name="pDocRef">
    <vt:lpwstr/>
  </property>
  <property fmtid="{D5CDD505-2E9C-101B-9397-08002B2CF9AE}" pid="19" name="pDocNumber">
    <vt:lpwstr/>
  </property>
</Properties>
</file>